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/>
          <w:color w:val="000000"/>
          <w:kern w:val="0"/>
          <w:szCs w:val="32"/>
        </w:rPr>
      </w:pPr>
      <w:r>
        <w:rPr>
          <w:rFonts w:hint="eastAsia" w:ascii="黑体" w:hAnsi="黑体" w:eastAsia="黑体"/>
          <w:color w:val="000000"/>
          <w:kern w:val="0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eastAsia="方正小标宋简体"/>
          <w:sz w:val="44"/>
          <w:lang w:val="en" w:eastAsia="zh-CN"/>
        </w:rPr>
      </w:pPr>
      <w:r>
        <w:rPr>
          <w:rFonts w:hint="eastAsia" w:ascii="方正小标宋简体" w:eastAsia="方正小标宋简体"/>
          <w:sz w:val="44"/>
          <w:lang w:val="en" w:eastAsia="zh-CN"/>
        </w:rPr>
        <w:t>杭金衢</w:t>
      </w:r>
      <w:r>
        <w:rPr>
          <w:rFonts w:ascii="方正小标宋简体" w:eastAsia="方正小标宋简体"/>
          <w:sz w:val="44"/>
          <w:lang w:val="en"/>
        </w:rPr>
        <w:t>高速公路</w:t>
      </w:r>
      <w:r>
        <w:rPr>
          <w:rFonts w:hint="eastAsia" w:ascii="方正小标宋简体" w:eastAsia="方正小标宋简体"/>
          <w:sz w:val="44"/>
          <w:lang w:val="en" w:eastAsia="zh-CN"/>
        </w:rPr>
        <w:t>金华</w:t>
      </w:r>
      <w:r>
        <w:rPr>
          <w:rFonts w:hint="eastAsia" w:ascii="方正小标宋简体" w:eastAsia="方正小标宋简体"/>
          <w:sz w:val="44"/>
          <w:lang w:val="en-US" w:eastAsia="zh-CN"/>
        </w:rPr>
        <w:t>互通至浙赣界段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车辆通行费收费标准和里程表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宋体"/>
          <w:bCs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/>
        </w:rPr>
      </w:pPr>
      <w:r>
        <w:rPr>
          <w:rFonts w:hint="eastAsia" w:ascii="黑体" w:hAnsi="黑体" w:eastAsia="黑体" w:cs="宋体"/>
          <w:bCs/>
          <w:kern w:val="0"/>
          <w:szCs w:val="32"/>
        </w:rPr>
        <w:t>一、收费标准表</w:t>
      </w:r>
    </w:p>
    <w:tbl>
      <w:tblPr>
        <w:tblStyle w:val="2"/>
        <w:tblW w:w="87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720"/>
        <w:gridCol w:w="1260"/>
        <w:gridCol w:w="1260"/>
        <w:gridCol w:w="2160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4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客车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货车、专项作业车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车型分类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标准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车公里费率（元/车公里）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车次费（元/车次）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车型分类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标准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车公里费率（元/车公里）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1类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≤9座（且车长小于6米）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0.4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2轴（车长小于6米且最大允许总质量小于4500KG）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0.450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2类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10-19座（且车长小于6米）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0.4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2轴（车长不小于6米或最大允许总质量不小于4500KG）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0.841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乘用车列车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3类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≤39座（且车长不小于6米）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0.8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3轴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1.321</w:t>
            </w:r>
          </w:p>
        </w:tc>
      </w:tr>
      <w:tr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4类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≥40座（且车长不小于6米）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1.2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4轴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1.639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5类</w:t>
            </w:r>
          </w:p>
        </w:tc>
        <w:tc>
          <w:tcPr>
            <w:tcW w:w="42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5轴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1.675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6类</w:t>
            </w:r>
          </w:p>
        </w:tc>
        <w:tc>
          <w:tcPr>
            <w:tcW w:w="424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≥6轴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1.747</w:t>
            </w:r>
          </w:p>
        </w:tc>
      </w:tr>
    </w:tbl>
    <w:p>
      <w:pPr>
        <w:spacing w:line="420" w:lineRule="exact"/>
        <w:ind w:left="1092" w:leftChars="86" w:hanging="822" w:hangingChars="300"/>
        <w:rPr>
          <w:rFonts w:hint="eastAsia" w:ascii="仿宋_GB2312" w:cs="_GB2312"/>
          <w:kern w:val="0"/>
          <w:sz w:val="28"/>
          <w:szCs w:val="32"/>
        </w:rPr>
      </w:pPr>
      <w:r>
        <w:rPr>
          <w:rFonts w:hint="eastAsia" w:ascii="仿宋_GB2312" w:cs="_GB2312"/>
          <w:kern w:val="0"/>
          <w:sz w:val="28"/>
          <w:szCs w:val="32"/>
        </w:rPr>
        <w:t>注：1.客车车辆通行费由车次费、里程费和隧道（桥梁）叠加通行费三部分组成。</w:t>
      </w:r>
    </w:p>
    <w:p>
      <w:pPr>
        <w:spacing w:line="420" w:lineRule="exact"/>
        <w:ind w:left="1093" w:leftChars="261" w:hanging="274" w:hangingChars="100"/>
        <w:rPr>
          <w:rFonts w:hint="eastAsia" w:ascii="仿宋_GB2312" w:cs="_GB2312"/>
          <w:kern w:val="0"/>
          <w:sz w:val="28"/>
          <w:szCs w:val="32"/>
        </w:rPr>
      </w:pPr>
      <w:r>
        <w:rPr>
          <w:rFonts w:hint="eastAsia" w:ascii="仿宋_GB2312" w:cs="_GB2312"/>
          <w:kern w:val="0"/>
          <w:sz w:val="28"/>
          <w:szCs w:val="32"/>
        </w:rPr>
        <w:t>2.货车、专项作业车车辆通行费由里程费和隧道（桥梁）叠加通行费两部分组成。</w:t>
      </w:r>
    </w:p>
    <w:p>
      <w:pPr>
        <w:spacing w:line="420" w:lineRule="exact"/>
        <w:ind w:firstLine="822" w:firstLineChars="300"/>
        <w:rPr>
          <w:rFonts w:hint="eastAsia" w:ascii="仿宋_GB2312"/>
        </w:rPr>
        <w:sectPr>
          <w:pgSz w:w="11906" w:h="16838"/>
          <w:pgMar w:top="2098" w:right="1531" w:bottom="1757" w:left="1531" w:header="851" w:footer="1418" w:gutter="0"/>
          <w:pgNumType w:fmt="decimal"/>
          <w:cols w:space="720" w:num="1"/>
          <w:docGrid w:type="linesAndChars" w:linePitch="579" w:charSpace="-1266"/>
        </w:sectPr>
      </w:pPr>
      <w:r>
        <w:rPr>
          <w:rFonts w:hint="eastAsia" w:ascii="仿宋_GB2312" w:cs="_GB2312"/>
          <w:kern w:val="0"/>
          <w:sz w:val="28"/>
          <w:szCs w:val="32"/>
        </w:rPr>
        <w:t>3.国际标准集装箱运输车辆收费标准按有关规定执行。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黑体" w:hAnsi="黑体" w:eastAsia="黑体" w:cs="宋体"/>
          <w:bCs/>
          <w:kern w:val="0"/>
          <w:szCs w:val="32"/>
        </w:rPr>
      </w:pPr>
      <w:r>
        <w:rPr>
          <w:rFonts w:hint="eastAsia" w:ascii="黑体" w:hAnsi="黑体" w:eastAsia="黑体" w:cs="宋体"/>
          <w:bCs/>
          <w:kern w:val="0"/>
          <w:szCs w:val="32"/>
          <w:lang w:eastAsia="zh-CN"/>
        </w:rPr>
        <w:t>二、</w:t>
      </w:r>
      <w:r>
        <w:rPr>
          <w:rFonts w:hint="default" w:ascii="黑体" w:hAnsi="黑体" w:eastAsia="黑体" w:cs="宋体"/>
          <w:bCs/>
          <w:kern w:val="0"/>
          <w:szCs w:val="32"/>
        </w:rPr>
        <w:t>里程表</w:t>
      </w:r>
    </w:p>
    <w:p>
      <w:pPr>
        <w:spacing w:line="596" w:lineRule="exact"/>
        <w:jc w:val="center"/>
        <w:textAlignment w:val="top"/>
        <w:rPr>
          <w:szCs w:val="32"/>
        </w:rPr>
      </w:pPr>
      <w:r>
        <w:rPr>
          <w:rStyle w:val="4"/>
          <w:rFonts w:hint="default" w:ascii="Times New Roman" w:cs="Times New Roman"/>
          <w:sz w:val="24"/>
          <w:szCs w:val="24"/>
          <w:lang w:bidi="ar"/>
        </w:rPr>
        <w:t>（单位：公里）</w:t>
      </w:r>
    </w:p>
    <w:tbl>
      <w:tblPr>
        <w:tblStyle w:val="2"/>
        <w:tblW w:w="1473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911"/>
        <w:gridCol w:w="892"/>
        <w:gridCol w:w="911"/>
        <w:gridCol w:w="905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9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金华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8.361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婺城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 xml:space="preserve">12.350 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3.989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兰溪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28.770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20.409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16.420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金华西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34.550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26.189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22.200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5.780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游埠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40.714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32.353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28.364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11.944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6.164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龙游港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48.230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39.869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35.880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19.460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13.680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7.516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龙游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55.176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46.815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42.826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26.406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20.626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14.462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6.946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吕塘角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65.907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57.546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53.557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37.137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31.357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25.193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17.677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10.731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衢江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74.610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66.249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62.260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45.840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40.060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33.896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26.380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19.434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8.703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衢州东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84.508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76.147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72.158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55.738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49.958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43.794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36.278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29.332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18.601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9.898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衢州西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90.393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82.032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78.043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61.623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55.843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49.679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42.163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35.217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24.486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15.783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5.885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柯城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98.955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90.594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86.605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70.185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64.405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58.241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50.725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43.779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33.048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24.345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14.447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8.562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五里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106.762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98.401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94.412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77.992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72.212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66.048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58.532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51.586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40.855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32.152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22.254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16.369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7.807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常山东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117.999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109.638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105.649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89.229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83.449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77.285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69.769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62.823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52.092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43.389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33.491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27.606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19.044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11.237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常山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136.236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127.875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123.886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107.466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101.686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95.522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88.006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81.060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70.329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61.626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51.728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45.843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37.281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29.474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18.237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常山西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137.398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129.037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125.048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108.628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102.848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96.684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89.168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82.222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71.491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62.788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52.890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47.005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38.443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30.636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19.399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1.162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杭金衢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浙赣省界</w:t>
            </w:r>
          </w:p>
        </w:tc>
      </w:tr>
    </w:tbl>
    <w:p>
      <w:pPr>
        <w:spacing w:line="580" w:lineRule="atLeast"/>
        <w:ind w:right="1294"/>
        <w:rPr>
          <w:rFonts w:hint="eastAsia" w:ascii="仿宋_GB2312"/>
        </w:rPr>
        <w:sectPr>
          <w:pgSz w:w="16838" w:h="11906" w:orient="landscape"/>
          <w:pgMar w:top="1588" w:right="2098" w:bottom="1474" w:left="1985" w:header="851" w:footer="1418" w:gutter="0"/>
          <w:pgNumType w:fmt="decimal"/>
          <w:cols w:space="720" w:num="1"/>
          <w:docGrid w:type="linesAndChars" w:linePitch="579" w:charSpace="-1266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F3E898C-46C8-450F-B3E2-9458A7C0DCA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5C6BEB3-6DD2-44E3-A572-7CA645415FD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485D64C2-36E3-46C0-B113-FDA055115C5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4F673D7A-14CB-4FDE-B01E-AFFF40487A22}"/>
  </w:font>
  <w:font w:name="_G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5" w:fontKey="{23D4DDF6-3603-4543-A275-EC4C0F32486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ZDNkZGVhMmQ2ZmUyODVjNjkwY2UyOGJhMmQyYzgifQ=="/>
  </w:docVars>
  <w:rsids>
    <w:rsidRoot w:val="612A4267"/>
    <w:rsid w:val="612A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2023-05-17T01:50:00Z</dcterms:created>
  <dc:creator>小小小葉秋</dc:creator>
  <cp:lastModifiedBy>小小小葉秋</cp:lastModifiedBy>
  <dcterms:modified xsi:type="dcterms:W3CDTF">2023-05-17T01:50:58Z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69C520D336094DFE8F4304C365650AEC_11</vt:lpwstr>
  </property>
</Properties>
</file>