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4247" w:type="dxa"/>
        <w:tblInd w:w="0" w:type="dxa"/>
        <w:tblLayout w:type="fixed"/>
        <w:tblCellMar>
          <w:top w:w="15" w:type="dxa"/>
          <w:left w:w="15" w:type="dxa"/>
          <w:bottom w:w="15" w:type="dxa"/>
          <w:right w:w="15" w:type="dxa"/>
        </w:tblCellMar>
      </w:tblPr>
      <w:tblGrid>
        <w:gridCol w:w="514"/>
        <w:gridCol w:w="773"/>
        <w:gridCol w:w="945"/>
        <w:gridCol w:w="495"/>
        <w:gridCol w:w="630"/>
        <w:gridCol w:w="510"/>
        <w:gridCol w:w="705"/>
        <w:gridCol w:w="675"/>
        <w:gridCol w:w="645"/>
        <w:gridCol w:w="825"/>
        <w:gridCol w:w="3780"/>
        <w:gridCol w:w="3750"/>
      </w:tblGrid>
      <w:tr>
        <w:tblPrEx>
          <w:tblCellMar>
            <w:top w:w="15" w:type="dxa"/>
            <w:left w:w="15" w:type="dxa"/>
            <w:bottom w:w="15" w:type="dxa"/>
            <w:right w:w="15" w:type="dxa"/>
          </w:tblCellMar>
        </w:tblPrEx>
        <w:trPr>
          <w:trHeight w:val="23" w:hRule="atLeast"/>
        </w:trPr>
        <w:tc>
          <w:tcPr>
            <w:tcW w:w="14247" w:type="dxa"/>
            <w:gridSpan w:val="12"/>
            <w:tcBorders>
              <w:bottom w:val="single" w:color="000000" w:sz="4" w:space="0"/>
            </w:tcBorders>
            <w:shd w:val="clear" w:color="auto" w:fill="FFFFFF"/>
            <w:noWrap w:val="0"/>
            <w:vAlign w:val="center"/>
          </w:tcPr>
          <w:p>
            <w:pPr>
              <w:widowControl/>
              <w:jc w:val="center"/>
              <w:textAlignment w:val="center"/>
              <w:rPr>
                <w:rFonts w:ascii="方正小标宋简体" w:hAnsi="宋体" w:eastAsia="方正小标宋简体" w:cs="宋体"/>
                <w:b w:val="0"/>
                <w:bCs w:val="0"/>
                <w:kern w:val="0"/>
                <w:sz w:val="32"/>
                <w:szCs w:val="32"/>
              </w:rPr>
            </w:pPr>
            <w:r>
              <w:rPr>
                <w:rFonts w:hint="eastAsia" w:ascii="方正小标宋简体" w:eastAsia="方正小标宋简体"/>
                <w:b w:val="0"/>
                <w:bCs w:val="0"/>
                <w:sz w:val="40"/>
                <w:szCs w:val="30"/>
              </w:rPr>
              <w:t>交通运输青年科技英才推荐人选信息一览表</w:t>
            </w:r>
          </w:p>
          <w:p>
            <w:pPr>
              <w:widowControl/>
              <w:jc w:val="left"/>
              <w:textAlignment w:val="center"/>
              <w:rPr>
                <w:rFonts w:ascii="宋体" w:hAnsi="宋体" w:cs="宋体"/>
                <w:kern w:val="0"/>
                <w:sz w:val="10"/>
                <w:szCs w:val="10"/>
              </w:rPr>
            </w:pPr>
          </w:p>
        </w:tc>
      </w:tr>
      <w:tr>
        <w:tblPrEx>
          <w:tblCellMar>
            <w:top w:w="15" w:type="dxa"/>
            <w:left w:w="15" w:type="dxa"/>
            <w:bottom w:w="15" w:type="dxa"/>
            <w:right w:w="15" w:type="dxa"/>
          </w:tblCellMar>
        </w:tblPrEx>
        <w:trPr>
          <w:trHeight w:val="23" w:hRule="atLeast"/>
        </w:trPr>
        <w:tc>
          <w:tcPr>
            <w:tcW w:w="5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sz w:val="20"/>
              </w:rPr>
            </w:pPr>
            <w:r>
              <w:rPr>
                <w:rFonts w:hint="eastAsia" w:ascii="宋体" w:hAnsi="宋体" w:eastAsia="宋体" w:cs="宋体"/>
                <w:kern w:val="0"/>
                <w:sz w:val="20"/>
              </w:rPr>
              <w:t>序号</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sz w:val="20"/>
              </w:rPr>
            </w:pPr>
            <w:r>
              <w:rPr>
                <w:rFonts w:hint="eastAsia" w:ascii="宋体" w:hAnsi="宋体" w:eastAsia="宋体" w:cs="宋体"/>
                <w:kern w:val="0"/>
                <w:sz w:val="20"/>
              </w:rPr>
              <w:t>姓名</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sz w:val="20"/>
              </w:rPr>
            </w:pPr>
            <w:r>
              <w:rPr>
                <w:rFonts w:hint="eastAsia" w:ascii="宋体" w:hAnsi="宋体" w:eastAsia="宋体" w:cs="宋体"/>
                <w:kern w:val="0"/>
                <w:sz w:val="20"/>
              </w:rPr>
              <w:t>工作单位</w:t>
            </w: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kern w:val="0"/>
                <w:sz w:val="20"/>
              </w:rPr>
            </w:pPr>
            <w:r>
              <w:rPr>
                <w:rFonts w:hint="eastAsia" w:ascii="宋体" w:hAnsi="宋体" w:eastAsia="宋体" w:cs="宋体"/>
                <w:kern w:val="0"/>
                <w:sz w:val="20"/>
              </w:rPr>
              <w:t>性</w:t>
            </w:r>
          </w:p>
          <w:p>
            <w:pPr>
              <w:widowControl/>
              <w:jc w:val="center"/>
              <w:textAlignment w:val="center"/>
              <w:rPr>
                <w:rFonts w:ascii="宋体" w:hAnsi="宋体" w:eastAsia="宋体" w:cs="宋体"/>
                <w:sz w:val="20"/>
              </w:rPr>
            </w:pPr>
            <w:r>
              <w:rPr>
                <w:rFonts w:hint="eastAsia" w:ascii="宋体" w:hAnsi="宋体" w:eastAsia="宋体" w:cs="宋体"/>
                <w:kern w:val="0"/>
                <w:sz w:val="20"/>
              </w:rPr>
              <w:t>别</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sz w:val="20"/>
              </w:rPr>
            </w:pPr>
            <w:r>
              <w:rPr>
                <w:rFonts w:hint="eastAsia" w:ascii="宋体" w:hAnsi="宋体" w:eastAsia="宋体" w:cs="宋体"/>
                <w:kern w:val="0"/>
                <w:sz w:val="20"/>
              </w:rPr>
              <w:t>出生年月</w:t>
            </w:r>
          </w:p>
        </w:tc>
        <w:tc>
          <w:tcPr>
            <w:tcW w:w="5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kern w:val="0"/>
                <w:sz w:val="20"/>
              </w:rPr>
            </w:pPr>
            <w:r>
              <w:rPr>
                <w:rFonts w:hint="eastAsia" w:ascii="宋体" w:hAnsi="宋体" w:eastAsia="宋体" w:cs="宋体"/>
                <w:kern w:val="0"/>
                <w:sz w:val="20"/>
              </w:rPr>
              <w:t>政治</w:t>
            </w:r>
          </w:p>
          <w:p>
            <w:pPr>
              <w:widowControl/>
              <w:jc w:val="center"/>
              <w:textAlignment w:val="center"/>
              <w:rPr>
                <w:rFonts w:ascii="宋体" w:hAnsi="宋体" w:eastAsia="宋体" w:cs="宋体"/>
                <w:sz w:val="20"/>
              </w:rPr>
            </w:pPr>
            <w:r>
              <w:rPr>
                <w:rFonts w:hint="eastAsia" w:ascii="宋体" w:hAnsi="宋体" w:eastAsia="宋体" w:cs="宋体"/>
                <w:kern w:val="0"/>
                <w:sz w:val="20"/>
              </w:rPr>
              <w:t>面貌</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kern w:val="0"/>
                <w:sz w:val="20"/>
              </w:rPr>
            </w:pPr>
            <w:r>
              <w:rPr>
                <w:rFonts w:hint="eastAsia" w:ascii="宋体" w:hAnsi="宋体" w:eastAsia="宋体" w:cs="宋体"/>
                <w:kern w:val="0"/>
                <w:sz w:val="20"/>
              </w:rPr>
              <w:t>行政</w:t>
            </w:r>
          </w:p>
          <w:p>
            <w:pPr>
              <w:widowControl/>
              <w:jc w:val="center"/>
              <w:textAlignment w:val="center"/>
              <w:rPr>
                <w:rFonts w:ascii="宋体" w:hAnsi="宋体" w:eastAsia="宋体" w:cs="宋体"/>
                <w:sz w:val="20"/>
              </w:rPr>
            </w:pPr>
            <w:r>
              <w:rPr>
                <w:rFonts w:hint="eastAsia" w:ascii="宋体" w:hAnsi="宋体" w:eastAsia="宋体" w:cs="宋体"/>
                <w:kern w:val="0"/>
                <w:sz w:val="20"/>
              </w:rPr>
              <w:t>职务</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kern w:val="0"/>
                <w:sz w:val="20"/>
              </w:rPr>
            </w:pPr>
            <w:r>
              <w:rPr>
                <w:rFonts w:hint="eastAsia" w:ascii="宋体" w:hAnsi="宋体" w:eastAsia="宋体" w:cs="宋体"/>
                <w:kern w:val="0"/>
                <w:sz w:val="20"/>
              </w:rPr>
              <w:t>技术</w:t>
            </w:r>
          </w:p>
          <w:p>
            <w:pPr>
              <w:widowControl/>
              <w:jc w:val="center"/>
              <w:textAlignment w:val="center"/>
              <w:rPr>
                <w:rFonts w:ascii="宋体" w:hAnsi="宋体" w:eastAsia="宋体" w:cs="宋体"/>
                <w:sz w:val="20"/>
              </w:rPr>
            </w:pPr>
            <w:r>
              <w:rPr>
                <w:rFonts w:hint="eastAsia" w:ascii="宋体" w:hAnsi="宋体" w:eastAsia="宋体" w:cs="宋体"/>
                <w:kern w:val="0"/>
                <w:sz w:val="20"/>
              </w:rPr>
              <w:t>职称</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kern w:val="0"/>
                <w:sz w:val="20"/>
              </w:rPr>
            </w:pPr>
            <w:r>
              <w:rPr>
                <w:rFonts w:hint="eastAsia" w:ascii="宋体" w:hAnsi="宋体" w:eastAsia="宋体" w:cs="宋体"/>
                <w:kern w:val="0"/>
                <w:sz w:val="20"/>
              </w:rPr>
              <w:t>最高</w:t>
            </w:r>
          </w:p>
          <w:p>
            <w:pPr>
              <w:widowControl/>
              <w:jc w:val="center"/>
              <w:textAlignment w:val="center"/>
              <w:rPr>
                <w:rFonts w:ascii="宋体" w:hAnsi="宋体" w:eastAsia="宋体" w:cs="宋体"/>
                <w:sz w:val="20"/>
              </w:rPr>
            </w:pPr>
            <w:r>
              <w:rPr>
                <w:rFonts w:hint="eastAsia" w:ascii="宋体" w:hAnsi="宋体" w:eastAsia="宋体" w:cs="宋体"/>
                <w:kern w:val="0"/>
                <w:sz w:val="20"/>
              </w:rPr>
              <w:t>学历</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kern w:val="0"/>
                <w:sz w:val="20"/>
              </w:rPr>
            </w:pPr>
            <w:r>
              <w:rPr>
                <w:rFonts w:hint="eastAsia" w:ascii="宋体" w:hAnsi="宋体" w:eastAsia="宋体" w:cs="宋体"/>
                <w:kern w:val="0"/>
                <w:sz w:val="20"/>
              </w:rPr>
              <w:t>从事</w:t>
            </w:r>
          </w:p>
          <w:p>
            <w:pPr>
              <w:widowControl/>
              <w:jc w:val="center"/>
              <w:textAlignment w:val="center"/>
              <w:rPr>
                <w:rFonts w:hint="eastAsia" w:ascii="宋体" w:hAnsi="宋体" w:eastAsia="宋体" w:cs="宋体"/>
                <w:kern w:val="0"/>
                <w:sz w:val="20"/>
              </w:rPr>
            </w:pPr>
            <w:r>
              <w:rPr>
                <w:rFonts w:hint="eastAsia" w:ascii="宋体" w:hAnsi="宋体" w:eastAsia="宋体" w:cs="宋体"/>
                <w:kern w:val="0"/>
                <w:sz w:val="20"/>
              </w:rPr>
              <w:t>专业</w:t>
            </w:r>
          </w:p>
        </w:tc>
        <w:tc>
          <w:tcPr>
            <w:tcW w:w="3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kern w:val="0"/>
                <w:sz w:val="20"/>
              </w:rPr>
            </w:pPr>
            <w:r>
              <w:rPr>
                <w:rFonts w:hint="eastAsia" w:ascii="宋体" w:hAnsi="宋体" w:eastAsia="宋体" w:cs="宋体"/>
                <w:kern w:val="0"/>
                <w:sz w:val="20"/>
              </w:rPr>
              <w:t>业绩贡献事迹</w:t>
            </w:r>
          </w:p>
        </w:tc>
        <w:tc>
          <w:tcPr>
            <w:tcW w:w="3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kern w:val="0"/>
                <w:sz w:val="20"/>
              </w:rPr>
            </w:pPr>
            <w:r>
              <w:rPr>
                <w:rFonts w:hint="eastAsia" w:ascii="宋体" w:hAnsi="宋体" w:eastAsia="宋体" w:cs="宋体"/>
                <w:kern w:val="0"/>
                <w:sz w:val="20"/>
              </w:rPr>
              <w:t>获奖情况</w:t>
            </w:r>
          </w:p>
        </w:tc>
      </w:tr>
      <w:tr>
        <w:tblPrEx>
          <w:tblCellMar>
            <w:top w:w="15" w:type="dxa"/>
            <w:left w:w="15" w:type="dxa"/>
            <w:bottom w:w="15" w:type="dxa"/>
            <w:right w:w="15" w:type="dxa"/>
          </w:tblCellMar>
        </w:tblPrEx>
        <w:trPr>
          <w:trHeight w:val="23" w:hRule="atLeast"/>
        </w:trPr>
        <w:tc>
          <w:tcPr>
            <w:tcW w:w="51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kern w:val="0"/>
                <w:sz w:val="20"/>
                <w:lang w:val="en-US" w:eastAsia="zh-CN"/>
              </w:rPr>
            </w:pPr>
            <w:r>
              <w:rPr>
                <w:rFonts w:hint="eastAsia" w:ascii="宋体" w:hAnsi="宋体" w:eastAsia="宋体" w:cs="宋体"/>
                <w:kern w:val="0"/>
                <w:sz w:val="20"/>
                <w:lang w:val="en-US" w:eastAsia="zh-CN"/>
              </w:rPr>
              <w:t>1</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kern w:val="0"/>
                <w:sz w:val="20"/>
                <w:lang w:val="en-US" w:eastAsia="zh-CN"/>
              </w:rPr>
            </w:pPr>
            <w:r>
              <w:rPr>
                <w:rFonts w:hint="eastAsia" w:ascii="宋体" w:hAnsi="宋体" w:eastAsia="宋体" w:cs="宋体"/>
                <w:kern w:val="0"/>
                <w:sz w:val="20"/>
                <w:lang w:val="en-US" w:eastAsia="zh-CN"/>
              </w:rPr>
              <w:t>周锋</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kern w:val="0"/>
                <w:sz w:val="20"/>
                <w:lang w:val="en-US" w:eastAsia="zh-CN"/>
              </w:rPr>
            </w:pPr>
            <w:r>
              <w:rPr>
                <w:rFonts w:hint="eastAsia" w:ascii="宋体" w:hAnsi="宋体" w:eastAsia="宋体" w:cs="宋体"/>
                <w:kern w:val="0"/>
                <w:sz w:val="20"/>
                <w:lang w:val="en-US" w:eastAsia="zh-CN"/>
              </w:rPr>
              <w:t>浙江交工集团股份有限公司</w:t>
            </w: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kern w:val="0"/>
                <w:sz w:val="20"/>
                <w:lang w:val="en-US" w:eastAsia="zh-CN"/>
              </w:rPr>
            </w:pPr>
            <w:r>
              <w:rPr>
                <w:rFonts w:hint="eastAsia" w:ascii="宋体" w:hAnsi="宋体" w:eastAsia="宋体" w:cs="宋体"/>
                <w:kern w:val="0"/>
                <w:sz w:val="20"/>
                <w:lang w:val="en-US" w:eastAsia="zh-CN"/>
              </w:rPr>
              <w:t>男</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kern w:val="0"/>
                <w:sz w:val="20"/>
                <w:lang w:val="en-US" w:eastAsia="zh-CN"/>
              </w:rPr>
            </w:pPr>
            <w:r>
              <w:rPr>
                <w:rFonts w:hint="eastAsia" w:ascii="宋体" w:hAnsi="宋体" w:eastAsia="宋体" w:cs="宋体"/>
                <w:kern w:val="0"/>
                <w:sz w:val="20"/>
                <w:lang w:val="en-US" w:eastAsia="zh-CN"/>
              </w:rPr>
              <w:t>198203</w:t>
            </w:r>
          </w:p>
        </w:tc>
        <w:tc>
          <w:tcPr>
            <w:tcW w:w="5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kern w:val="0"/>
                <w:sz w:val="20"/>
                <w:lang w:val="en-US" w:eastAsia="zh-CN"/>
              </w:rPr>
            </w:pPr>
            <w:r>
              <w:rPr>
                <w:rFonts w:hint="eastAsia" w:ascii="宋体" w:hAnsi="宋体" w:eastAsia="宋体" w:cs="宋体"/>
                <w:kern w:val="0"/>
                <w:sz w:val="20"/>
                <w:lang w:val="en-US" w:eastAsia="zh-CN"/>
              </w:rPr>
              <w:t>中共党员</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kern w:val="0"/>
                <w:sz w:val="20"/>
                <w:lang w:val="en-US" w:eastAsia="zh-CN"/>
              </w:rPr>
            </w:pPr>
            <w:r>
              <w:rPr>
                <w:rFonts w:hint="eastAsia" w:ascii="宋体" w:hAnsi="宋体" w:eastAsia="宋体" w:cs="宋体"/>
                <w:kern w:val="0"/>
                <w:sz w:val="20"/>
                <w:lang w:val="en-US" w:eastAsia="zh-CN"/>
              </w:rPr>
              <w:t>大桥分公司副总经理</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kern w:val="0"/>
                <w:sz w:val="20"/>
                <w:lang w:val="en-US" w:eastAsia="zh-CN"/>
              </w:rPr>
            </w:pPr>
            <w:r>
              <w:rPr>
                <w:rFonts w:hint="eastAsia" w:ascii="宋体" w:hAnsi="宋体" w:eastAsia="宋体" w:cs="宋体"/>
                <w:kern w:val="0"/>
                <w:sz w:val="20"/>
                <w:lang w:val="en-US" w:eastAsia="zh-CN"/>
              </w:rPr>
              <w:t>高级工程师</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kern w:val="0"/>
                <w:sz w:val="20"/>
                <w:lang w:val="en-US" w:eastAsia="zh-CN"/>
              </w:rPr>
            </w:pPr>
            <w:r>
              <w:rPr>
                <w:rFonts w:hint="eastAsia" w:ascii="宋体" w:hAnsi="宋体" w:eastAsia="宋体" w:cs="宋体"/>
                <w:kern w:val="0"/>
                <w:sz w:val="20"/>
                <w:lang w:val="en-US" w:eastAsia="zh-CN"/>
              </w:rPr>
              <w:t>本科</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kern w:val="0"/>
                <w:sz w:val="20"/>
                <w:lang w:val="en-US" w:eastAsia="zh-CN"/>
              </w:rPr>
            </w:pPr>
            <w:r>
              <w:rPr>
                <w:rFonts w:hint="eastAsia" w:ascii="宋体" w:hAnsi="宋体" w:eastAsia="宋体" w:cs="宋体"/>
                <w:kern w:val="0"/>
                <w:sz w:val="20"/>
                <w:lang w:val="en-US" w:eastAsia="zh-CN"/>
              </w:rPr>
              <w:t>桥梁工程</w:t>
            </w:r>
          </w:p>
        </w:tc>
        <w:tc>
          <w:tcPr>
            <w:tcW w:w="3780" w:type="dxa"/>
            <w:tcBorders>
              <w:top w:val="single" w:color="000000" w:sz="4" w:space="0"/>
              <w:left w:val="single" w:color="000000" w:sz="4" w:space="0"/>
              <w:bottom w:val="single" w:color="000000" w:sz="4" w:space="0"/>
              <w:right w:val="single" w:color="000000" w:sz="4" w:space="0"/>
            </w:tcBorders>
            <w:noWrap w:val="0"/>
            <w:vAlign w:val="center"/>
          </w:tcPr>
          <w:p>
            <w:pPr>
              <w:widowControl/>
              <w:tabs>
                <w:tab w:val="left" w:pos="475"/>
              </w:tabs>
              <w:spacing w:line="240" w:lineRule="auto"/>
              <w:jc w:val="left"/>
              <w:textAlignment w:val="center"/>
              <w:rPr>
                <w:rFonts w:hint="eastAsia" w:ascii="宋体" w:hAnsi="宋体" w:eastAsia="宋体" w:cs="宋体"/>
                <w:b w:val="0"/>
                <w:bCs w:val="0"/>
                <w:color w:val="auto"/>
                <w:kern w:val="0"/>
                <w:sz w:val="20"/>
                <w:szCs w:val="24"/>
                <w:lang w:val="en-US" w:eastAsia="zh-CN" w:bidi="ar-SA"/>
              </w:rPr>
            </w:pPr>
            <w:r>
              <w:rPr>
                <w:rFonts w:hint="eastAsia" w:ascii="宋体" w:hAnsi="宋体" w:eastAsia="宋体" w:cs="宋体"/>
                <w:b w:val="0"/>
                <w:bCs w:val="0"/>
                <w:kern w:val="0"/>
                <w:sz w:val="20"/>
                <w:lang w:val="en-US" w:eastAsia="zh-CN"/>
              </w:rPr>
              <w:t>主要从事公路桥梁工程建设，牵头组建了技术攻关小组，主持、参与《大型混合连续刚构桥节段安装施工关键技术研究》等浙江省交通运输厅科技项目，取得专利16项、省部级工法9项，发表论文6篇。研究提出了一套连续刚构桥预制节段拼装的施工线形控制技术和适用于海洋环境下超长超大直径桩基施工质量控制技术，研究成果在鱼山大桥、主通道项目、钱塘江新建大桥均得到了良好应用。</w:t>
            </w:r>
          </w:p>
        </w:tc>
        <w:tc>
          <w:tcPr>
            <w:tcW w:w="3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 w:val="0"/>
                <w:bCs w:val="0"/>
                <w:color w:val="auto"/>
                <w:kern w:val="0"/>
                <w:sz w:val="20"/>
                <w:szCs w:val="24"/>
                <w:lang w:val="en-US" w:eastAsia="zh-CN" w:bidi="ar-SA"/>
              </w:rPr>
            </w:pPr>
            <w:r>
              <w:rPr>
                <w:rFonts w:hint="eastAsia" w:ascii="宋体" w:hAnsi="宋体" w:eastAsia="宋体" w:cs="宋体"/>
                <w:b w:val="0"/>
                <w:bCs w:val="0"/>
                <w:kern w:val="0"/>
                <w:sz w:val="20"/>
                <w:lang w:val="en-US" w:eastAsia="zh-CN"/>
              </w:rPr>
              <w:t>《跨海长桥工业化快速建造技术》荣获2022年浙江省科学技术进步奖三等奖/排名第一；《大型混合连续刚构桥节段安装施工技术的研究》荣获2021年浙江省建筑业行业协会一等奖/排名第一；《海洋环境下超长超大直径钢管复合桩施工关键技术研究》荣获2021年</w:t>
            </w:r>
            <w:r>
              <w:rPr>
                <w:rFonts w:hint="default" w:ascii="宋体" w:hAnsi="宋体" w:eastAsia="宋体" w:cs="宋体"/>
                <w:b w:val="0"/>
                <w:bCs w:val="0"/>
                <w:kern w:val="0"/>
                <w:sz w:val="20"/>
                <w:lang w:val="en-US" w:eastAsia="zh-CN"/>
              </w:rPr>
              <w:t>浙江省建筑业行业协会二等奖</w:t>
            </w:r>
            <w:r>
              <w:rPr>
                <w:rFonts w:hint="eastAsia" w:ascii="宋体" w:hAnsi="宋体" w:eastAsia="宋体" w:cs="宋体"/>
                <w:b w:val="0"/>
                <w:bCs w:val="0"/>
                <w:kern w:val="0"/>
                <w:sz w:val="20"/>
                <w:lang w:val="en-US" w:eastAsia="zh-CN"/>
              </w:rPr>
              <w:t>/排名第二；</w:t>
            </w:r>
          </w:p>
        </w:tc>
      </w:tr>
      <w:tr>
        <w:tblPrEx>
          <w:tblCellMar>
            <w:top w:w="15" w:type="dxa"/>
            <w:left w:w="15" w:type="dxa"/>
            <w:bottom w:w="15" w:type="dxa"/>
            <w:right w:w="15" w:type="dxa"/>
          </w:tblCellMar>
        </w:tblPrEx>
        <w:trPr>
          <w:trHeight w:val="23" w:hRule="atLeast"/>
        </w:trPr>
        <w:tc>
          <w:tcPr>
            <w:tcW w:w="5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sz w:val="20"/>
                <w:lang w:val="en-US" w:eastAsia="zh-CN"/>
              </w:rPr>
            </w:pPr>
            <w:r>
              <w:rPr>
                <w:rFonts w:hint="eastAsia" w:ascii="宋体" w:hAnsi="宋体" w:eastAsia="宋体" w:cs="宋体"/>
                <w:sz w:val="20"/>
                <w:lang w:val="en-US" w:eastAsia="zh-CN"/>
              </w:rPr>
              <w:t>2</w:t>
            </w:r>
          </w:p>
        </w:tc>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kern w:val="0"/>
                <w:sz w:val="20"/>
                <w:lang w:val="en-US" w:eastAsia="zh-CN"/>
              </w:rPr>
            </w:pPr>
            <w:r>
              <w:rPr>
                <w:rFonts w:hint="eastAsia" w:ascii="宋体" w:hAnsi="宋体" w:eastAsia="宋体" w:cs="宋体"/>
                <w:kern w:val="0"/>
                <w:sz w:val="20"/>
                <w:lang w:val="en-US" w:eastAsia="zh-CN"/>
              </w:rPr>
              <w:t>曹更永</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kern w:val="0"/>
                <w:sz w:val="20"/>
                <w:lang w:val="en-US" w:eastAsia="zh-CN"/>
              </w:rPr>
            </w:pPr>
            <w:r>
              <w:rPr>
                <w:rFonts w:hint="eastAsia" w:ascii="宋体" w:hAnsi="宋体" w:eastAsia="宋体" w:cs="宋体"/>
                <w:kern w:val="0"/>
                <w:sz w:val="20"/>
                <w:lang w:val="en-US" w:eastAsia="zh-CN"/>
              </w:rPr>
              <w:t>浙江省交通运输科学研究院</w:t>
            </w: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kern w:val="0"/>
                <w:sz w:val="20"/>
                <w:lang w:val="en-US" w:eastAsia="zh-CN"/>
              </w:rPr>
            </w:pPr>
            <w:r>
              <w:rPr>
                <w:rFonts w:hint="eastAsia" w:ascii="宋体" w:hAnsi="宋体" w:eastAsia="宋体" w:cs="宋体"/>
                <w:kern w:val="0"/>
                <w:sz w:val="20"/>
                <w:lang w:val="en-US" w:eastAsia="zh-CN"/>
              </w:rPr>
              <w:t>男</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kern w:val="0"/>
                <w:sz w:val="20"/>
                <w:lang w:val="en-US" w:eastAsia="zh-CN"/>
              </w:rPr>
            </w:pPr>
            <w:r>
              <w:rPr>
                <w:rFonts w:hint="eastAsia" w:ascii="宋体" w:hAnsi="宋体" w:eastAsia="宋体" w:cs="宋体"/>
                <w:kern w:val="0"/>
                <w:sz w:val="20"/>
                <w:lang w:val="en-US" w:eastAsia="zh-CN"/>
              </w:rPr>
              <w:t>198411</w:t>
            </w:r>
          </w:p>
        </w:tc>
        <w:tc>
          <w:tcPr>
            <w:tcW w:w="5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kern w:val="0"/>
                <w:sz w:val="20"/>
                <w:lang w:val="en-US" w:eastAsia="zh-CN"/>
              </w:rPr>
            </w:pPr>
            <w:r>
              <w:rPr>
                <w:rFonts w:hint="eastAsia" w:ascii="宋体" w:hAnsi="宋体" w:eastAsia="宋体" w:cs="宋体"/>
                <w:kern w:val="0"/>
                <w:sz w:val="20"/>
                <w:lang w:val="en-US" w:eastAsia="zh-CN"/>
              </w:rPr>
              <w:t>中共党员</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kern w:val="0"/>
                <w:sz w:val="20"/>
                <w:lang w:val="en-US" w:eastAsia="zh-CN"/>
              </w:rPr>
            </w:pPr>
            <w:r>
              <w:rPr>
                <w:rFonts w:hint="eastAsia" w:ascii="宋体" w:hAnsi="宋体" w:eastAsia="宋体" w:cs="宋体"/>
                <w:kern w:val="0"/>
                <w:sz w:val="20"/>
                <w:lang w:val="en-US" w:eastAsia="zh-CN"/>
              </w:rPr>
              <w:t>党委副书记、纪委书记、副院长</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kern w:val="0"/>
                <w:sz w:val="20"/>
                <w:lang w:val="en-US" w:eastAsia="zh-CN"/>
              </w:rPr>
            </w:pPr>
            <w:r>
              <w:rPr>
                <w:rFonts w:hint="eastAsia" w:ascii="宋体" w:hAnsi="宋体" w:eastAsia="宋体" w:cs="宋体"/>
                <w:kern w:val="0"/>
                <w:sz w:val="20"/>
                <w:lang w:val="en-US" w:eastAsia="zh-CN"/>
              </w:rPr>
              <w:t>高级工程师</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kern w:val="0"/>
                <w:sz w:val="20"/>
                <w:lang w:val="en-US" w:eastAsia="zh-CN"/>
              </w:rPr>
            </w:pPr>
            <w:r>
              <w:rPr>
                <w:rFonts w:hint="eastAsia" w:ascii="宋体" w:hAnsi="宋体" w:eastAsia="宋体" w:cs="宋体"/>
                <w:kern w:val="0"/>
                <w:sz w:val="20"/>
                <w:lang w:val="en-US" w:eastAsia="zh-CN"/>
              </w:rPr>
              <w:t>硕士研究生</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kern w:val="0"/>
                <w:sz w:val="20"/>
                <w:lang w:val="en-US" w:eastAsia="zh-CN"/>
              </w:rPr>
            </w:pPr>
            <w:r>
              <w:rPr>
                <w:rFonts w:hint="eastAsia" w:ascii="宋体" w:hAnsi="宋体" w:eastAsia="宋体" w:cs="宋体"/>
                <w:kern w:val="0"/>
                <w:sz w:val="20"/>
                <w:lang w:val="en-US" w:eastAsia="zh-CN"/>
              </w:rPr>
              <w:t>交通运输规划与管理</w:t>
            </w:r>
          </w:p>
        </w:tc>
        <w:tc>
          <w:tcPr>
            <w:tcW w:w="378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ascii="宋体" w:hAnsi="宋体" w:eastAsia="宋体" w:cs="宋体"/>
                <w:b w:val="0"/>
                <w:bCs w:val="0"/>
                <w:sz w:val="20"/>
              </w:rPr>
            </w:pPr>
            <w:r>
              <w:rPr>
                <w:rFonts w:ascii="宋体" w:hAnsi="宋体" w:eastAsia="宋体" w:cs="宋体"/>
                <w:b w:val="0"/>
                <w:bCs w:val="0"/>
                <w:sz w:val="20"/>
              </w:rPr>
              <w:t>本人自工作以来一直从事</w:t>
            </w:r>
            <w:r>
              <w:rPr>
                <w:rFonts w:hint="eastAsia" w:ascii="宋体" w:hAnsi="宋体" w:eastAsia="宋体" w:cs="宋体"/>
                <w:b w:val="0"/>
                <w:bCs w:val="0"/>
                <w:sz w:val="20"/>
              </w:rPr>
              <w:t>交通</w:t>
            </w:r>
            <w:r>
              <w:rPr>
                <w:rFonts w:ascii="宋体" w:hAnsi="宋体" w:eastAsia="宋体" w:cs="宋体"/>
                <w:b w:val="0"/>
                <w:bCs w:val="0"/>
                <w:sz w:val="20"/>
              </w:rPr>
              <w:t>发展</w:t>
            </w:r>
            <w:r>
              <w:rPr>
                <w:rFonts w:hint="eastAsia" w:ascii="宋体" w:hAnsi="宋体" w:eastAsia="宋体" w:cs="宋体"/>
                <w:b w:val="0"/>
                <w:bCs w:val="0"/>
                <w:sz w:val="20"/>
              </w:rPr>
              <w:t>战略、规划、政策等软科学研究工作。近五年来先后主持或作为主要参与人员完成</w:t>
            </w:r>
            <w:r>
              <w:rPr>
                <w:rFonts w:ascii="宋体" w:hAnsi="宋体" w:eastAsia="宋体" w:cs="宋体"/>
                <w:b w:val="0"/>
                <w:bCs w:val="0"/>
                <w:sz w:val="20"/>
              </w:rPr>
              <w:t>综合交通运输支撑新型城镇化发展的</w:t>
            </w:r>
            <w:r>
              <w:rPr>
                <w:rFonts w:hint="eastAsia" w:ascii="宋体" w:hAnsi="宋体" w:eastAsia="宋体" w:cs="宋体"/>
                <w:b w:val="0"/>
                <w:bCs w:val="0"/>
                <w:sz w:val="20"/>
              </w:rPr>
              <w:t>对策</w:t>
            </w:r>
            <w:r>
              <w:rPr>
                <w:rFonts w:ascii="宋体" w:hAnsi="宋体" w:eastAsia="宋体" w:cs="宋体"/>
                <w:b w:val="0"/>
                <w:bCs w:val="0"/>
                <w:sz w:val="20"/>
              </w:rPr>
              <w:t>研究、水运工程建设耐久性指标体系研究等</w:t>
            </w:r>
            <w:r>
              <w:rPr>
                <w:rFonts w:hint="eastAsia" w:ascii="宋体" w:hAnsi="宋体" w:eastAsia="宋体" w:cs="宋体"/>
                <w:b w:val="0"/>
                <w:bCs w:val="0"/>
                <w:sz w:val="20"/>
              </w:rPr>
              <w:t>省部级、厅局级等各类科研项目</w:t>
            </w:r>
            <w:r>
              <w:rPr>
                <w:rFonts w:ascii="宋体" w:hAnsi="宋体" w:eastAsia="宋体" w:cs="宋体"/>
                <w:b w:val="0"/>
                <w:bCs w:val="0"/>
                <w:sz w:val="20"/>
              </w:rPr>
              <w:t>20</w:t>
            </w:r>
            <w:r>
              <w:rPr>
                <w:rFonts w:hint="eastAsia" w:ascii="宋体" w:hAnsi="宋体" w:eastAsia="宋体" w:cs="宋体"/>
                <w:b w:val="0"/>
                <w:bCs w:val="0"/>
                <w:sz w:val="20"/>
              </w:rPr>
              <w:t>余项，主持完成浙江交通</w:t>
            </w:r>
            <w:r>
              <w:rPr>
                <w:rFonts w:ascii="宋体" w:hAnsi="宋体" w:eastAsia="宋体" w:cs="宋体"/>
                <w:b w:val="0"/>
                <w:bCs w:val="0"/>
                <w:sz w:val="20"/>
              </w:rPr>
              <w:t>强国试点方案</w:t>
            </w:r>
            <w:r>
              <w:rPr>
                <w:rFonts w:hint="eastAsia" w:ascii="宋体" w:hAnsi="宋体" w:eastAsia="宋体" w:cs="宋体"/>
                <w:b w:val="0"/>
                <w:bCs w:val="0"/>
                <w:sz w:val="20"/>
              </w:rPr>
              <w:t>研究</w:t>
            </w:r>
            <w:r>
              <w:rPr>
                <w:rFonts w:ascii="宋体" w:hAnsi="宋体" w:eastAsia="宋体" w:cs="宋体"/>
                <w:b w:val="0"/>
                <w:bCs w:val="0"/>
                <w:sz w:val="20"/>
              </w:rPr>
              <w:t>、浙江交通领域碳达峰研究等</w:t>
            </w:r>
            <w:r>
              <w:rPr>
                <w:rFonts w:hint="eastAsia" w:ascii="宋体" w:hAnsi="宋体" w:eastAsia="宋体" w:cs="宋体"/>
                <w:b w:val="0"/>
                <w:bCs w:val="0"/>
                <w:sz w:val="20"/>
              </w:rPr>
              <w:t>重大科技服务项目30多项，发表10余篇，专著1部，</w:t>
            </w:r>
            <w:r>
              <w:rPr>
                <w:rFonts w:ascii="宋体" w:hAnsi="宋体" w:eastAsia="宋体" w:cs="宋体"/>
                <w:b w:val="0"/>
                <w:bCs w:val="0"/>
                <w:sz w:val="20"/>
              </w:rPr>
              <w:t>成果</w:t>
            </w:r>
            <w:r>
              <w:rPr>
                <w:rFonts w:hint="eastAsia" w:ascii="宋体" w:hAnsi="宋体" w:eastAsia="宋体" w:cs="宋体"/>
                <w:b w:val="0"/>
                <w:bCs w:val="0"/>
                <w:sz w:val="20"/>
              </w:rPr>
              <w:t>推广</w:t>
            </w:r>
            <w:r>
              <w:rPr>
                <w:rFonts w:ascii="宋体" w:hAnsi="宋体" w:eastAsia="宋体" w:cs="宋体"/>
                <w:b w:val="0"/>
                <w:bCs w:val="0"/>
                <w:sz w:val="20"/>
              </w:rPr>
              <w:t>转化4000多万元。</w:t>
            </w:r>
          </w:p>
        </w:tc>
        <w:tc>
          <w:tcPr>
            <w:tcW w:w="375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ascii="宋体" w:hAnsi="宋体" w:eastAsia="宋体" w:cs="宋体"/>
                <w:b w:val="0"/>
                <w:bCs w:val="0"/>
                <w:sz w:val="20"/>
              </w:rPr>
            </w:pPr>
            <w:r>
              <w:rPr>
                <w:rFonts w:hint="eastAsia" w:ascii="宋体" w:hAnsi="宋体" w:eastAsia="宋体" w:cs="宋体"/>
                <w:b w:val="0"/>
                <w:bCs w:val="0"/>
                <w:sz w:val="20"/>
              </w:rPr>
              <w:t>“长江三角洲地区交通运输高质量一体化规划成套技术与实践应用”获2</w:t>
            </w:r>
            <w:r>
              <w:rPr>
                <w:rFonts w:ascii="宋体" w:hAnsi="宋体" w:eastAsia="宋体" w:cs="宋体"/>
                <w:b w:val="0"/>
                <w:bCs w:val="0"/>
                <w:sz w:val="20"/>
              </w:rPr>
              <w:t>021</w:t>
            </w:r>
            <w:r>
              <w:rPr>
                <w:rFonts w:hint="eastAsia" w:ascii="宋体" w:hAnsi="宋体" w:eastAsia="宋体" w:cs="宋体"/>
                <w:b w:val="0"/>
                <w:bCs w:val="0"/>
                <w:sz w:val="20"/>
              </w:rPr>
              <w:t>年度中国公路学会科学技术奖一等奖，排名7；“部省共建绿色交通建设发展体系与应用研究</w:t>
            </w:r>
            <w:r>
              <w:rPr>
                <w:rFonts w:ascii="宋体" w:hAnsi="宋体" w:eastAsia="宋体" w:cs="宋体"/>
                <w:b w:val="0"/>
                <w:bCs w:val="0"/>
                <w:sz w:val="20"/>
              </w:rPr>
              <w:t>”</w:t>
            </w:r>
            <w:r>
              <w:rPr>
                <w:rFonts w:hint="eastAsia" w:ascii="宋体" w:hAnsi="宋体" w:eastAsia="宋体" w:cs="宋体"/>
                <w:b w:val="0"/>
                <w:bCs w:val="0"/>
                <w:sz w:val="20"/>
              </w:rPr>
              <w:t>获2</w:t>
            </w:r>
            <w:r>
              <w:rPr>
                <w:rFonts w:ascii="宋体" w:hAnsi="宋体" w:eastAsia="宋体" w:cs="宋体"/>
                <w:b w:val="0"/>
                <w:bCs w:val="0"/>
                <w:sz w:val="20"/>
              </w:rPr>
              <w:t>021</w:t>
            </w:r>
            <w:r>
              <w:rPr>
                <w:rFonts w:hint="eastAsia" w:ascii="宋体" w:hAnsi="宋体" w:eastAsia="宋体" w:cs="宋体"/>
                <w:b w:val="0"/>
                <w:bCs w:val="0"/>
                <w:sz w:val="20"/>
              </w:rPr>
              <w:t>年度中国公路学会科学技术奖三等奖，排名4;“危险货物道路运输产业链、利益链、责任链、风险链研究”获2</w:t>
            </w:r>
            <w:r>
              <w:rPr>
                <w:rFonts w:ascii="宋体" w:hAnsi="宋体" w:eastAsia="宋体" w:cs="宋体"/>
                <w:b w:val="0"/>
                <w:bCs w:val="0"/>
                <w:sz w:val="20"/>
              </w:rPr>
              <w:t>022</w:t>
            </w:r>
            <w:r>
              <w:rPr>
                <w:rFonts w:hint="eastAsia" w:ascii="宋体" w:hAnsi="宋体" w:eastAsia="宋体" w:cs="宋体"/>
                <w:b w:val="0"/>
                <w:bCs w:val="0"/>
                <w:sz w:val="20"/>
              </w:rPr>
              <w:t>年获中国公路学会运输与物流创新成果一等奖，排名2；</w:t>
            </w:r>
            <w:r>
              <w:rPr>
                <w:rFonts w:ascii="宋体" w:hAnsi="宋体" w:eastAsia="宋体" w:cs="宋体"/>
                <w:b w:val="0"/>
                <w:bCs w:val="0"/>
                <w:sz w:val="20"/>
              </w:rPr>
              <w:t>“</w:t>
            </w:r>
            <w:r>
              <w:rPr>
                <w:rFonts w:hint="eastAsia" w:ascii="宋体" w:hAnsi="宋体" w:eastAsia="宋体" w:cs="宋体"/>
                <w:b w:val="0"/>
                <w:bCs w:val="0"/>
                <w:sz w:val="20"/>
              </w:rPr>
              <w:t>绿色交通建设发展体系构建与应用研究“获2</w:t>
            </w:r>
            <w:r>
              <w:rPr>
                <w:rFonts w:ascii="宋体" w:hAnsi="宋体" w:eastAsia="宋体" w:cs="宋体"/>
                <w:b w:val="0"/>
                <w:bCs w:val="0"/>
                <w:sz w:val="20"/>
              </w:rPr>
              <w:t>021</w:t>
            </w:r>
            <w:r>
              <w:rPr>
                <w:rFonts w:hint="eastAsia" w:ascii="宋体" w:hAnsi="宋体" w:eastAsia="宋体" w:cs="宋体"/>
                <w:b w:val="0"/>
                <w:bCs w:val="0"/>
                <w:sz w:val="20"/>
              </w:rPr>
              <w:t>年度浙江省公路学会科学技术奖一等奖,排名5。</w:t>
            </w:r>
          </w:p>
        </w:tc>
      </w:tr>
    </w:tbl>
    <w:p/>
    <w:p>
      <w:bookmarkStart w:id="0" w:name="_GoBack"/>
      <w:bookmarkEnd w:id="0"/>
    </w:p>
    <w:sectPr>
      <w:pgSz w:w="16838" w:h="11906" w:orient="landscape"/>
      <w:pgMar w:top="1800" w:right="1440" w:bottom="1800" w:left="144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00000000000000000"/>
    <w:charset w:val="86"/>
    <w:family w:val="script"/>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5ZDNkZGVhMmQ2ZmUyODVjNjkwY2UyOGJhMmQyYzgifQ=="/>
  </w:docVars>
  <w:rsids>
    <w:rsidRoot w:val="45B42ECA"/>
    <w:rsid w:val="45B42E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2022-08-12T07:31:00Z</dcterms:created>
  <dc:creator>dell</dc:creator>
  <cp:lastModifiedBy>dell</cp:lastModifiedBy>
  <dcterms:modified xsi:type="dcterms:W3CDTF">2022-08-12T07:31:12Z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E909A13B8DE14B21AD37DCB9298F3CAC</vt:lpwstr>
  </property>
</Properties>
</file>