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  <w:b w:val="0"/>
          <w:bCs w:val="0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具有工程师职务任职资格人员名单</w:t>
      </w:r>
    </w:p>
    <w:tbl>
      <w:tblPr>
        <w:tblStyle w:val="4"/>
        <w:tblW w:w="89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594"/>
        <w:gridCol w:w="6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1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张权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浙江省交通工程管理中心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2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李飞雪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浙江公路技师学院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3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杨有强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浙江公路技师学院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4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孟春云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浙江省交通运输科学研究院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5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洪新栋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浙江省交通运输科学研究院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6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金奇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浙江省交通运输科学研究院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7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杨鑫兴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浙江省交通运输科学研究院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8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李慧芳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浙江省交通运输科学研究院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9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仲启壮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浙江公路水运工程监理有限公司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10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曹永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浙江公路水运工程监理有限公司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11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余炜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浙江公路水运工程监理有限公司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12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王震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浙江公路水运工程监理有限公司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13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苑海坤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浙江公路水运工程监理有限公司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14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方雷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浙江交科工程检测有限公司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15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余华燕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浙江交科工程检测有限公司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16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刘春龙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浙江交科公路水运工程监理有限公司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17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孙衍祥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浙江交科公路水运工程监理有限公司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18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徐可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浙江交科公路水运工程监理有限公司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19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李波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浙江交科公路水运工程监理有限公司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20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郑浩杰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浙江交科公路水运工程监理有限公司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21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许恺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浙江交科交通科技有限公司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22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谢炳奔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浙江交科交通科技有限公司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23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金冠君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浙江交科交通科技有限公司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24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邵世皓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浙江交科交通科技有限公司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25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施耀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浙江远大工程咨询有限公司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26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孙影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浙江港航经济开发有限公司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27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叶志鑫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浙江新世纪人才开发有限公司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28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陈继博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杭州华烨交通工程检测有限公司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29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朱乾康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浙江八达隧道工程股份有限公司杭州分公司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30</w:t>
            </w:r>
          </w:p>
        </w:tc>
        <w:tc>
          <w:tcPr>
            <w:tcW w:w="15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金荣耀</w:t>
            </w:r>
          </w:p>
        </w:tc>
        <w:tc>
          <w:tcPr>
            <w:tcW w:w="64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FangSong_GB2312" w:hAnsi="FangSong_GB2312" w:cs="Arial"/>
                <w:sz w:val="24"/>
                <w:szCs w:val="24"/>
              </w:rPr>
            </w:pPr>
            <w:r>
              <w:rPr>
                <w:rFonts w:hint="eastAsia" w:ascii="FangSong_GB2312" w:hAnsi="FangSong_GB2312" w:cs="Arial"/>
              </w:rPr>
              <w:t>浙江八达隧道工程股份有限公司杭州分公司</w:t>
            </w:r>
          </w:p>
        </w:tc>
      </w:tr>
    </w:tbl>
    <w:p/>
    <w:p>
      <w:pPr>
        <w:spacing w:line="580" w:lineRule="atLeast"/>
        <w:ind w:right="1294"/>
        <w:rPr>
          <w:rFonts w:hint="eastAsia" w:ascii="仿宋_GB2312"/>
        </w:rPr>
      </w:pPr>
    </w:p>
    <w:p>
      <w:pPr>
        <w:spacing w:line="20" w:lineRule="atLeast"/>
        <w:ind w:left="-141" w:leftChars="-45"/>
        <w:jc w:val="left"/>
        <w:rPr>
          <w:rFonts w:hint="eastAsia"/>
          <w:sz w:val="28"/>
          <w:szCs w:val="28"/>
        </w:rPr>
      </w:pPr>
    </w:p>
    <w:p>
      <w:pPr>
        <w:spacing w:line="20" w:lineRule="atLeast"/>
        <w:ind w:left="-141" w:leftChars="-45"/>
        <w:jc w:val="left"/>
        <w:outlineLvl w:val="0"/>
        <w:rPr>
          <w:rFonts w:hint="eastAsia" w:ascii="仿宋_GB2312"/>
          <w:szCs w:val="32"/>
        </w:rPr>
      </w:pPr>
      <w:r>
        <w:rPr>
          <w:sz w:val="28"/>
          <w:szCs w:val="28"/>
        </w:rPr>
        <w:t xml:space="preserve">   </w:t>
      </w:r>
    </w:p>
    <w:p>
      <w:pPr>
        <w:spacing w:line="20" w:lineRule="atLeast"/>
        <w:ind w:left="-141" w:leftChars="-45"/>
        <w:jc w:val="left"/>
        <w:rPr>
          <w:rFonts w:hint="eastAsia" w:ascii="仿宋_GB2312"/>
          <w:szCs w:val="32"/>
        </w:rPr>
      </w:pPr>
    </w:p>
    <w:p>
      <w:pPr>
        <w:rPr>
          <w:rFonts w:hint="eastAsia"/>
        </w:rPr>
      </w:pPr>
      <w:bookmarkStart w:id="0" w:name="bodyEnd"/>
      <w:bookmarkEnd w:id="0"/>
    </w:p>
    <w:p>
      <w:bookmarkStart w:id="1" w:name="_GoBack"/>
      <w:bookmarkEnd w:id="1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474" w:bottom="1134" w:left="1587" w:header="851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 w:ascii="宋体" w:hAnsi="宋体" w:eastAsia="宋体"/>
        <w:sz w:val="28"/>
        <w:szCs w:val="28"/>
      </w:rPr>
      <w:t xml:space="preserve">－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188B509C"/>
    <w:rsid w:val="188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2022-11-17T03:03:00Z</dcterms:created>
  <dc:creator>dell</dc:creator>
  <cp:lastModifiedBy>dell</cp:lastModifiedBy>
  <dcterms:modified xsi:type="dcterms:W3CDTF">2022-11-17T03:03:10Z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507628A5B9FB4E33BAC0C4E51EC0B25E</vt:lpwstr>
  </property>
</Properties>
</file>