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80" w:lineRule="exact"/>
        <w:ind w:left="-141" w:leftChars="-45"/>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关于调整完善我省公路水运工程施工部分</w:t>
      </w:r>
    </w:p>
    <w:p>
      <w:pPr>
        <w:keepNext w:val="0"/>
        <w:keepLines w:val="0"/>
        <w:pageBreakBefore w:val="0"/>
        <w:widowControl w:val="0"/>
        <w:suppressAutoHyphens/>
        <w:kinsoku/>
        <w:wordWrap/>
        <w:overflowPunct/>
        <w:topLinePunct w:val="0"/>
        <w:autoSpaceDE/>
        <w:autoSpaceDN/>
        <w:bidi w:val="0"/>
        <w:adjustRightInd/>
        <w:snapToGrid/>
        <w:spacing w:line="580" w:lineRule="exact"/>
        <w:ind w:left="-141" w:leftChars="-45"/>
        <w:jc w:val="center"/>
        <w:textAlignment w:val="auto"/>
        <w:rPr>
          <w:rFonts w:hint="eastAsia" w:ascii="方正小标宋简体" w:hAnsi="方正小标宋简体" w:eastAsia="方正小标宋简体" w:cs="方正小标宋简体"/>
          <w:color w:val="auto"/>
          <w:kern w:val="0"/>
          <w:sz w:val="44"/>
          <w:szCs w:val="44"/>
        </w:rPr>
      </w:pPr>
      <w:bookmarkStart w:id="0" w:name="_GoBack"/>
      <w:r>
        <w:rPr>
          <w:rFonts w:hint="eastAsia" w:ascii="方正小标宋简体" w:hAnsi="方正小标宋简体" w:eastAsia="方正小标宋简体" w:cs="方正小标宋简体"/>
          <w:color w:val="auto"/>
          <w:kern w:val="0"/>
          <w:sz w:val="44"/>
          <w:szCs w:val="44"/>
        </w:rPr>
        <w:t>清单子目计价规则</w:t>
      </w:r>
      <w:r>
        <w:rPr>
          <w:rFonts w:hint="eastAsia" w:ascii="方正小标宋简体" w:hAnsi="方正小标宋简体" w:eastAsia="方正小标宋简体" w:cs="方正小标宋简体"/>
          <w:color w:val="auto"/>
          <w:kern w:val="0"/>
          <w:sz w:val="44"/>
          <w:szCs w:val="44"/>
          <w:lang w:eastAsia="zh-CN"/>
        </w:rPr>
        <w:t>的通知</w:t>
      </w:r>
    </w:p>
    <w:bookmarkEnd w:id="0"/>
    <w:p>
      <w:pPr>
        <w:keepNext w:val="0"/>
        <w:keepLines w:val="0"/>
        <w:pageBreakBefore w:val="0"/>
        <w:widowControl w:val="0"/>
        <w:suppressAutoHyphens/>
        <w:kinsoku/>
        <w:wordWrap/>
        <w:overflowPunct/>
        <w:topLinePunct w:val="0"/>
        <w:autoSpaceDE/>
        <w:autoSpaceDN/>
        <w:bidi w:val="0"/>
        <w:spacing w:line="580" w:lineRule="exact"/>
        <w:ind w:left="-141" w:leftChars="-45"/>
        <w:jc w:val="center"/>
        <w:textAlignment w:val="auto"/>
        <w:rPr>
          <w:rFonts w:hint="eastAsia" w:ascii="Times New Roman" w:hAnsi="Times New Roman" w:eastAsia="仿宋_GB2312" w:cs="Times New Roman"/>
          <w:color w:val="auto"/>
          <w:kern w:val="0"/>
          <w:sz w:val="28"/>
          <w:szCs w:val="28"/>
        </w:rPr>
      </w:pPr>
      <w:r>
        <w:rPr>
          <w:rFonts w:hint="eastAsia" w:ascii="楷体_GB2312" w:hAnsi="仿宋" w:eastAsia="楷体_GB2312" w:cs="宋体"/>
          <w:color w:val="auto"/>
          <w:kern w:val="0"/>
          <w:sz w:val="32"/>
          <w:szCs w:val="32"/>
        </w:rPr>
        <w:t>（征求意见稿）</w:t>
      </w:r>
    </w:p>
    <w:p>
      <w:pPr>
        <w:keepNext w:val="0"/>
        <w:keepLines w:val="0"/>
        <w:pageBreakBefore w:val="0"/>
        <w:widowControl w:val="0"/>
        <w:suppressAutoHyphens/>
        <w:kinsoku/>
        <w:wordWrap/>
        <w:overflowPunct/>
        <w:topLinePunct w:val="0"/>
        <w:autoSpaceDE/>
        <w:autoSpaceDN/>
        <w:bidi w:val="0"/>
        <w:spacing w:line="580" w:lineRule="exact"/>
        <w:ind w:left="-141" w:leftChars="-45"/>
        <w:jc w:val="left"/>
        <w:textAlignment w:val="auto"/>
        <w:rPr>
          <w:rFonts w:hint="eastAsia" w:ascii="Times New Roman" w:hAnsi="Times New Roman" w:eastAsia="仿宋_GB2312" w:cs="Times New Roman"/>
          <w:color w:val="auto"/>
          <w:kern w:val="0"/>
          <w:sz w:val="28"/>
          <w:szCs w:val="28"/>
        </w:rPr>
      </w:pP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firstLine="628" w:firstLineChars="200"/>
        <w:jc w:val="both"/>
        <w:textAlignment w:val="auto"/>
        <w:rPr>
          <w:rFonts w:hint="eastAsia" w:ascii="仿宋_GB2312" w:hAnsi="仿宋_GB2312" w:eastAsia="仿宋_GB2312" w:cs="仿宋_GB2312"/>
          <w:color w:val="000000"/>
          <w:kern w:val="0"/>
          <w:sz w:val="32"/>
          <w:szCs w:val="20"/>
          <w:lang w:val="en-US" w:eastAsia="zh" w:bidi="ar-SA"/>
        </w:rPr>
      </w:pPr>
      <w:r>
        <w:rPr>
          <w:rFonts w:hint="eastAsia" w:ascii="仿宋_GB2312" w:hAnsi="仿宋_GB2312" w:eastAsia="仿宋_GB2312" w:cs="仿宋_GB2312"/>
          <w:color w:val="000000"/>
          <w:kern w:val="0"/>
          <w:sz w:val="32"/>
          <w:szCs w:val="20"/>
          <w:lang w:val="en-US" w:eastAsia="zh-CN" w:bidi="ar-SA"/>
        </w:rPr>
        <w:t>为深入贯彻落实省委省政府关于统筹做好疫情防控和经济社会发展有关精神，加大</w:t>
      </w:r>
      <w:r>
        <w:rPr>
          <w:rFonts w:hint="eastAsia" w:ascii="仿宋_GB2312" w:hAnsi="Times New Roman" w:eastAsia="仿宋_GB2312" w:cs="Times New Roman"/>
          <w:color w:val="000000"/>
          <w:kern w:val="0"/>
          <w:sz w:val="32"/>
          <w:szCs w:val="32"/>
          <w:lang w:val="en-US" w:eastAsia="zh-CN" w:bidi="ar-SA"/>
        </w:rPr>
        <w:t>助企纾困力度，保障我省公路水运工程安全平稳推进，决定对部分工程量清单子目计价规则予以调整完善，现将具体事项通知如下：</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ascii="仿宋_GB2312" w:hAnsi="Times New Roman" w:eastAsia="仿宋_GB2312" w:cs="Times New Roman"/>
          <w:bCs/>
          <w:color w:val="000000"/>
          <w:kern w:val="0"/>
          <w:sz w:val="32"/>
          <w:szCs w:val="32"/>
          <w:lang w:val="en-US" w:eastAsia="zh-CN" w:bidi="ar-SA"/>
        </w:rPr>
      </w:pPr>
      <w:r>
        <w:rPr>
          <w:rFonts w:hint="eastAsia" w:ascii="黑体" w:hAnsi="黑体" w:eastAsia="黑体" w:cs="Times New Roman"/>
          <w:bCs/>
          <w:color w:val="000000"/>
          <w:kern w:val="0"/>
          <w:sz w:val="32"/>
          <w:szCs w:val="32"/>
          <w:lang w:val="en-US" w:eastAsia="zh-CN" w:bidi="ar-SA"/>
        </w:rPr>
        <w:t>一、增设疫情防控费用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在施工招标文件工程量清单100章中新增“106疫情防控费用”子目（附件1），费用细分为常态化和战时疫情防控费用。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hint="eastAsia" w:ascii="仿宋_GB2312" w:hAnsi="Times New Roman" w:eastAsia="仿宋_GB2312" w:cs="Times New Roman"/>
          <w:bCs/>
          <w:color w:val="auto"/>
          <w:kern w:val="0"/>
          <w:sz w:val="32"/>
          <w:szCs w:val="32"/>
          <w:lang w:val="en-US" w:eastAsia="zh-CN" w:bidi="ar-SA"/>
        </w:rPr>
      </w:pPr>
      <w:r>
        <w:rPr>
          <w:rFonts w:hint="eastAsia" w:ascii="楷体_GB2312" w:hAnsi="Times New Roman" w:eastAsia="楷体_GB2312" w:cs="Times New Roman"/>
          <w:bCs/>
          <w:color w:val="000000"/>
          <w:kern w:val="0"/>
          <w:sz w:val="32"/>
          <w:szCs w:val="32"/>
          <w:lang w:val="en-US" w:eastAsia="zh-CN" w:bidi="ar-SA"/>
        </w:rPr>
        <w:t>（一）常态化疫情防控费用。</w:t>
      </w:r>
      <w:r>
        <w:rPr>
          <w:rFonts w:hint="eastAsia" w:ascii="仿宋_GB2312" w:hAnsi="Times New Roman" w:eastAsia="仿宋_GB2312" w:cs="Times New Roman"/>
          <w:bCs/>
          <w:color w:val="auto"/>
          <w:kern w:val="0"/>
          <w:sz w:val="32"/>
          <w:szCs w:val="32"/>
          <w:lang w:val="en-US" w:eastAsia="zh-CN" w:bidi="ar-SA"/>
        </w:rPr>
        <w:t>编制招标工程量清单预算时，费用计算可参考附件2，合同双方签订协议后，按该子目合同价结算。</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ascii="黑体" w:hAnsi="黑体" w:eastAsia="黑体" w:cs="Times New Roman"/>
          <w:bCs/>
          <w:color w:val="auto"/>
          <w:kern w:val="0"/>
          <w:sz w:val="32"/>
          <w:szCs w:val="32"/>
          <w:lang w:val="en-US" w:eastAsia="zh-CN" w:bidi="ar-SA"/>
        </w:rPr>
      </w:pPr>
      <w:r>
        <w:rPr>
          <w:rFonts w:hint="eastAsia" w:ascii="楷体_GB2312" w:hAnsi="Times New Roman" w:eastAsia="楷体_GB2312" w:cs="Times New Roman"/>
          <w:bCs/>
          <w:color w:val="000000"/>
          <w:kern w:val="0"/>
          <w:sz w:val="32"/>
          <w:szCs w:val="32"/>
          <w:lang w:val="en-US" w:eastAsia="zh-CN" w:bidi="ar-SA"/>
        </w:rPr>
        <w:t>（二）战时疫情防控费用。</w:t>
      </w:r>
      <w:r>
        <w:rPr>
          <w:rFonts w:hint="eastAsia" w:ascii="仿宋_GB2312" w:hAnsi="Times New Roman" w:eastAsia="仿宋_GB2312" w:cs="Times New Roman"/>
          <w:bCs/>
          <w:color w:val="000000"/>
          <w:kern w:val="0"/>
          <w:sz w:val="32"/>
          <w:szCs w:val="32"/>
          <w:lang w:val="en-US" w:eastAsia="zh-CN" w:bidi="ar-SA"/>
        </w:rPr>
        <w:t>费用标准按照省厅《关于新冠肺炎疫情防控期间交通建设项目工程价款调整的指导意见》（浙交〔2020〕11号）执行，一级响应或高风险标准为40元/人·天，二级响应或中风险标准为15元/人·天，增值税另算。</w:t>
      </w:r>
      <w:r>
        <w:rPr>
          <w:rFonts w:hint="eastAsia" w:ascii="仿宋_GB2312" w:hAnsi="Times New Roman" w:eastAsia="仿宋_GB2312" w:cs="Times New Roman"/>
          <w:bCs/>
          <w:color w:val="auto"/>
          <w:kern w:val="0"/>
          <w:sz w:val="32"/>
          <w:szCs w:val="32"/>
          <w:lang w:val="en-US" w:eastAsia="zh-CN" w:bidi="ar-SA"/>
        </w:rPr>
        <w:t>编制招标工程量清单预算时，按照暂估价估列总额并予以管理，费用可参考附件2或按实结算。</w:t>
      </w:r>
    </w:p>
    <w:p>
      <w:pPr>
        <w:keepNext w:val="0"/>
        <w:keepLines w:val="0"/>
        <w:pageBreakBefore w:val="0"/>
        <w:widowControl w:val="0"/>
        <w:suppressAutoHyphens/>
        <w:kinsoku/>
        <w:wordWrap/>
        <w:overflowPunct/>
        <w:topLinePunct w:val="0"/>
        <w:autoSpaceDE/>
        <w:autoSpaceDN/>
        <w:bidi w:val="0"/>
        <w:adjustRightInd/>
        <w:snapToGrid/>
        <w:spacing w:after="0" w:line="580" w:lineRule="exact"/>
        <w:ind w:left="51" w:firstLine="641"/>
        <w:textAlignment w:val="auto"/>
        <w:rPr>
          <w:rFonts w:hint="eastAsia" w:ascii="黑体" w:hAnsi="黑体" w:eastAsia="黑体" w:cs="Times New Roman"/>
          <w:bCs/>
          <w:color w:val="000000"/>
          <w:sz w:val="32"/>
          <w:szCs w:val="32"/>
          <w:lang w:eastAsia="zh-CN"/>
        </w:rPr>
      </w:pPr>
      <w:r>
        <w:rPr>
          <w:rFonts w:hint="eastAsia" w:ascii="黑体" w:hAnsi="黑体" w:eastAsia="黑体" w:cs="Times New Roman"/>
          <w:bCs/>
          <w:color w:val="000000"/>
          <w:sz w:val="32"/>
          <w:szCs w:val="32"/>
        </w:rPr>
        <w:t>二、</w:t>
      </w:r>
      <w:r>
        <w:rPr>
          <w:rFonts w:hint="eastAsia" w:ascii="黑体" w:hAnsi="黑体" w:eastAsia="黑体" w:cs="Times New Roman"/>
          <w:bCs/>
          <w:color w:val="000000"/>
          <w:sz w:val="32"/>
          <w:szCs w:val="32"/>
          <w:lang w:eastAsia="zh-CN"/>
        </w:rPr>
        <w:t>增设安全生产责任保险</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hint="eastAsia" w:ascii="仿宋_GB2312" w:hAnsi="Times New Roman" w:eastAsia="仿宋_GB2312" w:cs="Times New Roman"/>
          <w:bCs/>
          <w:color w:val="auto"/>
          <w:kern w:val="0"/>
          <w:sz w:val="32"/>
          <w:szCs w:val="32"/>
          <w:lang w:val="en-US" w:eastAsia="zh-CN" w:bidi="ar-SA"/>
        </w:rPr>
      </w:pPr>
      <w:r>
        <w:rPr>
          <w:rFonts w:hint="eastAsia" w:ascii="仿宋_GB2312" w:hAnsi="Times New Roman" w:eastAsia="仿宋_GB2312" w:cs="Times New Roman"/>
          <w:bCs/>
          <w:color w:val="auto"/>
          <w:kern w:val="0"/>
          <w:sz w:val="32"/>
          <w:szCs w:val="32"/>
          <w:lang w:val="en-US" w:eastAsia="zh-CN" w:bidi="ar-SA"/>
        </w:rPr>
        <w:t>全省公路水运工程应当依法投保安全生产责任保险，投保费用列入工程造价，在施工招标文件工程量清单100章中新增“101-1-4安全生产责任保险”子目。高速公路、普通国省道和大型水运工程安全生产责任保险费率一般不超过0.25%。安全生产责任保险保障内容已覆盖第三者责任险保障的，第三者责任险不重复计量。</w:t>
      </w:r>
    </w:p>
    <w:p>
      <w:pPr>
        <w:keepNext w:val="0"/>
        <w:keepLines w:val="0"/>
        <w:pageBreakBefore w:val="0"/>
        <w:widowControl w:val="0"/>
        <w:suppressAutoHyphens/>
        <w:kinsoku/>
        <w:wordWrap/>
        <w:overflowPunct/>
        <w:topLinePunct w:val="0"/>
        <w:autoSpaceDE/>
        <w:autoSpaceDN/>
        <w:bidi w:val="0"/>
        <w:adjustRightInd/>
        <w:snapToGrid/>
        <w:spacing w:after="0" w:line="580" w:lineRule="exact"/>
        <w:ind w:left="51" w:firstLine="641"/>
        <w:textAlignment w:val="auto"/>
        <w:rPr>
          <w:rFonts w:ascii="仿宋_GB2312" w:hAnsi="Times New Roman" w:eastAsia="仿宋_GB2312" w:cs="Times New Roman"/>
          <w:bCs/>
          <w:color w:val="000000"/>
          <w:sz w:val="32"/>
          <w:szCs w:val="32"/>
        </w:rPr>
      </w:pPr>
      <w:r>
        <w:rPr>
          <w:rFonts w:hint="eastAsia" w:ascii="黑体" w:hAnsi="黑体" w:eastAsia="黑体" w:cs="Times New Roman"/>
          <w:bCs/>
          <w:color w:val="000000"/>
          <w:sz w:val="32"/>
          <w:szCs w:val="32"/>
          <w:lang w:eastAsia="zh-CN"/>
        </w:rPr>
        <w:t>三、</w:t>
      </w:r>
      <w:r>
        <w:rPr>
          <w:rFonts w:hint="eastAsia" w:ascii="黑体" w:hAnsi="黑体" w:eastAsia="黑体" w:cs="Times New Roman"/>
          <w:bCs/>
          <w:color w:val="000000"/>
          <w:kern w:val="0"/>
          <w:sz w:val="32"/>
          <w:szCs w:val="32"/>
        </w:rPr>
        <w:t>调整完善安全生产费用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在《省交通运输厅关于印发&lt;浙江省交通建设工程安全生产费用管理办法&gt;的通知》（浙交〔2021〕12号）基础上，作出以下调整：</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ascii="楷体_GB2312" w:hAnsi="Times New Roman" w:eastAsia="楷体_GB2312" w:cs="Times New Roman"/>
          <w:bCs/>
          <w:color w:val="000000"/>
          <w:kern w:val="0"/>
          <w:sz w:val="32"/>
          <w:szCs w:val="32"/>
          <w:lang w:val="en-US" w:eastAsia="zh-CN" w:bidi="ar-SA"/>
        </w:rPr>
      </w:pPr>
      <w:r>
        <w:rPr>
          <w:rFonts w:hint="eastAsia" w:ascii="楷体_GB2312" w:hAnsi="Times New Roman" w:eastAsia="楷体_GB2312" w:cs="Times New Roman"/>
          <w:bCs/>
          <w:color w:val="000000"/>
          <w:kern w:val="0"/>
          <w:sz w:val="32"/>
          <w:szCs w:val="32"/>
          <w:lang w:val="en-US" w:eastAsia="zh-CN" w:bidi="ar-SA"/>
        </w:rPr>
        <w:t>（一）新增以下费用，从安全生产费用中计取</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1.为作业人员提供安全作业条件的作业通道、作业平台等装配式设施，登高车等设备的使用费用。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仿宋_GB2312" w:eastAsia="仿宋_GB2312" w:cs="仿宋_GB2312"/>
          <w:color w:val="000000"/>
          <w:kern w:val="0"/>
          <w:sz w:val="32"/>
          <w:szCs w:val="20"/>
          <w:lang w:val="en-US" w:eastAsia="zh-CN" w:bidi="ar-SA"/>
        </w:rPr>
      </w:pPr>
      <w:r>
        <w:rPr>
          <w:rFonts w:hint="eastAsia" w:ascii="仿宋_GB2312" w:hAnsi="Times New Roman" w:eastAsia="仿宋_GB2312" w:cs="Times New Roman"/>
          <w:bCs/>
          <w:color w:val="000000"/>
          <w:kern w:val="0"/>
          <w:sz w:val="32"/>
          <w:szCs w:val="32"/>
          <w:lang w:val="en-US" w:eastAsia="zh-CN" w:bidi="ar-SA"/>
        </w:rPr>
        <w:t>2.</w:t>
      </w:r>
      <w:r>
        <w:rPr>
          <w:rFonts w:hint="eastAsia" w:ascii="仿宋_GB2312" w:hAnsi="仿宋_GB2312" w:eastAsia="仿宋_GB2312" w:cs="仿宋_GB2312"/>
          <w:color w:val="000000"/>
          <w:kern w:val="0"/>
          <w:sz w:val="32"/>
          <w:szCs w:val="20"/>
          <w:lang w:val="en-US" w:eastAsia="zh-CN" w:bidi="ar-SA"/>
        </w:rPr>
        <w:t>施工作业工人</w:t>
      </w:r>
      <w:r>
        <w:rPr>
          <w:rFonts w:ascii="仿宋_GB2312" w:hAnsi="仿宋_GB2312" w:eastAsia="仿宋_GB2312" w:cs="仿宋_GB2312"/>
          <w:color w:val="000000"/>
          <w:kern w:val="0"/>
          <w:sz w:val="32"/>
          <w:szCs w:val="20"/>
          <w:lang w:val="en-US" w:eastAsia="zh-CN" w:bidi="ar-SA"/>
        </w:rPr>
        <w:t>参加</w:t>
      </w:r>
      <w:r>
        <w:rPr>
          <w:rFonts w:hint="eastAsia" w:ascii="仿宋_GB2312" w:hAnsi="仿宋_GB2312" w:eastAsia="仿宋_GB2312" w:cs="仿宋_GB2312"/>
          <w:color w:val="000000"/>
          <w:kern w:val="0"/>
          <w:sz w:val="32"/>
          <w:szCs w:val="20"/>
          <w:lang w:val="en-US" w:eastAsia="zh-CN" w:bidi="ar-SA"/>
        </w:rPr>
        <w:t>复工复产教育、日常</w:t>
      </w:r>
      <w:r>
        <w:rPr>
          <w:rFonts w:ascii="仿宋_GB2312" w:hAnsi="仿宋_GB2312" w:eastAsia="仿宋_GB2312" w:cs="仿宋_GB2312"/>
          <w:color w:val="000000"/>
          <w:kern w:val="0"/>
          <w:sz w:val="32"/>
          <w:szCs w:val="20"/>
          <w:lang w:val="en-US" w:eastAsia="zh-CN" w:bidi="ar-SA"/>
        </w:rPr>
        <w:t>安全教育培训</w:t>
      </w:r>
      <w:r>
        <w:rPr>
          <w:rFonts w:hint="eastAsia" w:ascii="仿宋_GB2312" w:hAnsi="仿宋_GB2312" w:eastAsia="仿宋_GB2312" w:cs="仿宋_GB2312"/>
          <w:color w:val="000000"/>
          <w:kern w:val="0"/>
          <w:sz w:val="32"/>
          <w:szCs w:val="20"/>
          <w:lang w:val="en-US" w:eastAsia="zh-CN" w:bidi="ar-SA"/>
        </w:rPr>
        <w:t>等活动时（三级安全教育除外），施工单位可以适当发放误工</w:t>
      </w:r>
      <w:r>
        <w:rPr>
          <w:rFonts w:ascii="仿宋_GB2312" w:hAnsi="仿宋_GB2312" w:eastAsia="仿宋_GB2312" w:cs="仿宋_GB2312"/>
          <w:color w:val="000000"/>
          <w:kern w:val="0"/>
          <w:sz w:val="32"/>
          <w:szCs w:val="20"/>
          <w:lang w:val="en-US" w:eastAsia="zh-CN" w:bidi="ar-SA"/>
        </w:rPr>
        <w:t>补贴</w:t>
      </w:r>
      <w:r>
        <w:rPr>
          <w:rFonts w:hint="eastAsia" w:ascii="仿宋_GB2312" w:hAnsi="仿宋_GB2312" w:eastAsia="仿宋_GB2312" w:cs="仿宋_GB2312"/>
          <w:color w:val="000000"/>
          <w:kern w:val="0"/>
          <w:sz w:val="32"/>
          <w:szCs w:val="20"/>
          <w:lang w:val="en-US" w:eastAsia="zh-CN" w:bidi="ar-SA"/>
        </w:rPr>
        <w:t>，补贴金额按10元/学时执行。</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仿宋_GB2312" w:eastAsia="仿宋_GB2312" w:cs="仿宋_GB2312"/>
          <w:color w:val="000000"/>
          <w:kern w:val="0"/>
          <w:sz w:val="32"/>
          <w:szCs w:val="20"/>
          <w:lang w:val="en-US" w:eastAsia="zh-CN" w:bidi="ar-SA"/>
        </w:rPr>
      </w:pPr>
      <w:r>
        <w:rPr>
          <w:rFonts w:hint="eastAsia" w:ascii="仿宋_GB2312" w:hAnsi="仿宋_GB2312" w:eastAsia="仿宋_GB2312" w:cs="仿宋_GB2312"/>
          <w:color w:val="000000"/>
          <w:kern w:val="0"/>
          <w:sz w:val="32"/>
          <w:szCs w:val="20"/>
          <w:lang w:val="en-US" w:eastAsia="zh-CN" w:bidi="ar-SA"/>
        </w:rPr>
        <w:t>3.安全生产辅助费用（安全设施设备的运输、保管、安装、维护保养产生的人工、机械费），可按照安全设施设备采购价格的15%计量。</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Times New Roman" w:eastAsia="仿宋_GB2312" w:cs="Times New Roman"/>
          <w:bCs/>
          <w:color w:val="000000"/>
          <w:kern w:val="0"/>
          <w:sz w:val="32"/>
          <w:szCs w:val="32"/>
          <w:lang w:val="en-US" w:eastAsia="zh-CN" w:bidi="ar-SA"/>
        </w:rPr>
      </w:pPr>
      <w:r>
        <w:rPr>
          <w:rFonts w:hint="eastAsia" w:ascii="仿宋_GB2312" w:hAnsi="仿宋_GB2312" w:eastAsia="仿宋_GB2312" w:cs="仿宋_GB2312"/>
          <w:color w:val="000000"/>
          <w:kern w:val="0"/>
          <w:sz w:val="32"/>
          <w:szCs w:val="20"/>
          <w:lang w:val="en-US" w:eastAsia="zh-CN" w:bidi="ar-SA"/>
        </w:rPr>
        <w:t>4.</w:t>
      </w:r>
      <w:r>
        <w:rPr>
          <w:rFonts w:hint="eastAsia" w:ascii="仿宋_GB2312" w:hAnsi="Times New Roman" w:eastAsia="仿宋_GB2312" w:cs="Times New Roman"/>
          <w:bCs/>
          <w:color w:val="000000"/>
          <w:kern w:val="0"/>
          <w:sz w:val="32"/>
          <w:szCs w:val="32"/>
          <w:lang w:val="en-US" w:eastAsia="zh-CN" w:bidi="ar-SA"/>
        </w:rPr>
        <w:t>安全巡查专用车使用费（燃油费、维修保养费），每合同段可按每10亿元计取1辆巡查专用车使用费，总合同价不足10亿元的按1辆计列。</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ascii="楷体_GB2312" w:hAnsi="Times New Roman" w:eastAsia="楷体_GB2312" w:cs="Times New Roman"/>
          <w:bCs/>
          <w:color w:val="auto"/>
          <w:kern w:val="0"/>
          <w:sz w:val="32"/>
          <w:szCs w:val="32"/>
          <w:lang w:val="en-US" w:eastAsia="zh-CN" w:bidi="ar-SA"/>
        </w:rPr>
      </w:pPr>
      <w:r>
        <w:rPr>
          <w:rFonts w:hint="eastAsia" w:ascii="楷体_GB2312" w:hAnsi="Times New Roman" w:eastAsia="楷体_GB2312" w:cs="Times New Roman"/>
          <w:bCs/>
          <w:color w:val="auto"/>
          <w:kern w:val="0"/>
          <w:sz w:val="32"/>
          <w:szCs w:val="32"/>
          <w:lang w:val="en-US" w:eastAsia="zh-CN" w:bidi="ar-SA"/>
        </w:rPr>
        <w:t>（二）调整以下费用，按本通知规定计取安全生产费用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仿宋_GB2312" w:eastAsia="仿宋_GB2312" w:cs="仿宋_GB2312"/>
          <w:color w:val="000000"/>
          <w:kern w:val="0"/>
          <w:sz w:val="32"/>
          <w:szCs w:val="20"/>
          <w:lang w:val="en-US" w:eastAsia="zh-CN" w:bidi="ar-SA"/>
        </w:rPr>
      </w:pPr>
      <w:r>
        <w:rPr>
          <w:rFonts w:hint="eastAsia" w:ascii="仿宋_GB2312" w:hAnsi="仿宋_GB2312" w:eastAsia="仿宋_GB2312" w:cs="仿宋_GB2312"/>
          <w:color w:val="000000"/>
          <w:kern w:val="0"/>
          <w:sz w:val="32"/>
          <w:szCs w:val="20"/>
          <w:lang w:val="en-US" w:eastAsia="zh-CN" w:bidi="ar-SA"/>
        </w:rPr>
        <w:t>1.将“安全生产目标考核奖励，原则上不应高于总额的5%”，调整为“安全生产费用总额的5%用于班组和工人的考核奖励”。</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ascii="仿宋_GB2312" w:hAnsi="仿宋_GB2312" w:eastAsia="仿宋_GB2312" w:cs="仿宋_GB2312"/>
          <w:color w:val="000000"/>
          <w:kern w:val="0"/>
          <w:sz w:val="32"/>
          <w:szCs w:val="20"/>
          <w:lang w:val="en-US" w:eastAsia="zh-CN" w:bidi="ar-SA"/>
        </w:rPr>
      </w:pPr>
      <w:r>
        <w:rPr>
          <w:rFonts w:hint="eastAsia" w:ascii="仿宋_GB2312" w:hAnsi="仿宋_GB2312" w:eastAsia="仿宋_GB2312" w:cs="仿宋_GB2312"/>
          <w:color w:val="000000"/>
          <w:kern w:val="0"/>
          <w:sz w:val="32"/>
          <w:szCs w:val="20"/>
          <w:lang w:val="en-US" w:eastAsia="zh-CN" w:bidi="ar-SA"/>
        </w:rPr>
        <w:t>2.将“翻模、滑（爬）模、施工挂（吊）篮、移动模架等设施的检验检测费用”调整为“翻模、爬模、施工挂（吊）篮、移动模架等设施的检验检测费用”。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0" w:firstLine="640"/>
        <w:jc w:val="both"/>
        <w:textAlignment w:val="auto"/>
        <w:rPr>
          <w:rFonts w:ascii="楷体_GB2312" w:hAnsi="Times New Roman" w:eastAsia="楷体_GB2312" w:cs="Times New Roman"/>
          <w:bCs/>
          <w:color w:val="auto"/>
          <w:kern w:val="0"/>
          <w:sz w:val="32"/>
          <w:szCs w:val="32"/>
          <w:lang w:val="en-US" w:eastAsia="zh-CN" w:bidi="ar-SA"/>
        </w:rPr>
      </w:pPr>
      <w:r>
        <w:rPr>
          <w:rFonts w:hint="eastAsia" w:ascii="楷体_GB2312" w:hAnsi="Times New Roman" w:eastAsia="楷体_GB2312" w:cs="Times New Roman"/>
          <w:bCs/>
          <w:color w:val="auto"/>
          <w:kern w:val="0"/>
          <w:sz w:val="32"/>
          <w:szCs w:val="32"/>
          <w:lang w:val="en-US" w:eastAsia="zh-CN" w:bidi="ar-SA"/>
        </w:rPr>
        <w:t>（三）以下费用不再从安全生产费用中计取</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仿宋_GB2312" w:eastAsia="仿宋_GB2312" w:cs="仿宋_GB2312"/>
          <w:color w:val="000000"/>
          <w:kern w:val="0"/>
          <w:sz w:val="32"/>
          <w:szCs w:val="20"/>
          <w:lang w:val="en-US" w:eastAsia="zh-CN" w:bidi="ar-SA"/>
        </w:rPr>
      </w:pPr>
      <w:r>
        <w:rPr>
          <w:rFonts w:hint="eastAsia" w:ascii="仿宋_GB2312" w:hAnsi="仿宋_GB2312" w:eastAsia="仿宋_GB2312" w:cs="仿宋_GB2312"/>
          <w:color w:val="000000"/>
          <w:kern w:val="0"/>
          <w:sz w:val="32"/>
          <w:szCs w:val="20"/>
          <w:lang w:val="en-US" w:eastAsia="zh-CN" w:bidi="ar-SA"/>
        </w:rPr>
        <w:t>1.安全教育培训体验馆、警示馆等场地建设费用。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仿宋_GB2312" w:eastAsia="仿宋_GB2312" w:cs="仿宋_GB2312"/>
          <w:color w:val="000000"/>
          <w:kern w:val="0"/>
          <w:sz w:val="32"/>
          <w:szCs w:val="20"/>
          <w:lang w:val="en-US" w:eastAsia="zh-CN" w:bidi="ar-SA"/>
        </w:rPr>
      </w:pPr>
      <w:r>
        <w:rPr>
          <w:rFonts w:hint="eastAsia" w:ascii="仿宋_GB2312" w:hAnsi="仿宋_GB2312" w:eastAsia="仿宋_GB2312" w:cs="仿宋_GB2312"/>
          <w:color w:val="000000"/>
          <w:kern w:val="0"/>
          <w:sz w:val="32"/>
          <w:szCs w:val="20"/>
          <w:lang w:val="en-US" w:eastAsia="zh-CN" w:bidi="ar-SA"/>
        </w:rPr>
        <w:t>2.施工现场为保障交通安全而聘请协管人员产生的费用。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3.开展施工安全专项风险评估报告的编制、审查、评审等相关费用。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left="51" w:firstLine="641"/>
        <w:jc w:val="both"/>
        <w:textAlignment w:val="auto"/>
        <w:rPr>
          <w:rFonts w:ascii="仿宋_GB2312" w:hAnsi="仿宋_GB2312" w:eastAsia="仿宋_GB2312" w:cs="仿宋_GB2312"/>
          <w:color w:val="000000"/>
          <w:kern w:val="0"/>
          <w:sz w:val="32"/>
          <w:szCs w:val="20"/>
          <w:lang w:val="en-US" w:eastAsia="zh-CN" w:bidi="ar-SA"/>
        </w:rPr>
      </w:pPr>
      <w:r>
        <w:rPr>
          <w:rFonts w:hint="eastAsia" w:ascii="仿宋_GB2312" w:hAnsi="Times New Roman" w:eastAsia="仿宋_GB2312" w:cs="Times New Roman"/>
          <w:bCs/>
          <w:color w:val="000000"/>
          <w:kern w:val="0"/>
          <w:sz w:val="32"/>
          <w:szCs w:val="32"/>
          <w:lang w:val="en-US" w:eastAsia="zh-CN" w:bidi="ar-SA"/>
        </w:rPr>
        <w:t>4.危险性较大分部分项工程专项施工方案论证等相关费用。</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firstLine="628" w:firstLineChars="200"/>
        <w:jc w:val="both"/>
        <w:textAlignment w:val="auto"/>
        <w:rPr>
          <w:rFonts w:ascii="仿宋_GB2312" w:hAnsi="Times New Roman" w:eastAsia="仿宋_GB2312" w:cs="Times New Roman"/>
          <w:bCs/>
          <w:color w:val="000000"/>
          <w:kern w:val="0"/>
          <w:sz w:val="32"/>
          <w:szCs w:val="32"/>
          <w:lang w:val="en-US" w:eastAsia="zh-CN" w:bidi="ar-SA"/>
        </w:rPr>
      </w:pPr>
      <w:r>
        <w:rPr>
          <w:rFonts w:hint="eastAsia" w:ascii="仿宋_GB2312" w:hAnsi="仿宋_GB2312" w:eastAsia="仿宋_GB2312" w:cs="仿宋_GB2312"/>
          <w:color w:val="000000"/>
          <w:kern w:val="2"/>
          <w:sz w:val="32"/>
          <w:szCs w:val="20"/>
          <w:lang w:val="en-US" w:eastAsia="zh-CN" w:bidi="ar-SA"/>
        </w:rPr>
        <w:t>新建项目应将本通知以上规定纳入招标文件实施。在建项目疫情防控费用、安全生产责任保险如合同有明确约定的，按照合同约定执行；如合同未约定的，根据项目实际</w:t>
      </w:r>
      <w:r>
        <w:rPr>
          <w:rFonts w:hint="eastAsia" w:ascii="仿宋_GB2312" w:hAnsi="Times New Roman" w:eastAsia="仿宋_GB2312" w:cs="Times New Roman"/>
          <w:bCs/>
          <w:color w:val="000000"/>
          <w:kern w:val="0"/>
          <w:sz w:val="32"/>
          <w:szCs w:val="32"/>
          <w:lang w:val="en-US" w:eastAsia="zh-CN" w:bidi="ar-SA"/>
        </w:rPr>
        <w:t>按照本通知签订补充协议，予以计量支付。在建项目安全生产费用新增内容和考核奖励费用自文件印发之日起实施。</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firstLine="628" w:firstLineChars="200"/>
        <w:jc w:val="both"/>
        <w:textAlignment w:val="auto"/>
        <w:rPr>
          <w:rFonts w:ascii="仿宋_GB2312" w:hAnsi="Times New Roman" w:eastAsia="仿宋_GB2312" w:cs="Times New Roman"/>
          <w:bCs/>
          <w:color w:val="000000"/>
          <w:kern w:val="0"/>
          <w:sz w:val="32"/>
          <w:szCs w:val="32"/>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80" w:lineRule="exact"/>
        <w:ind w:firstLine="628" w:firstLineChars="200"/>
        <w:jc w:val="both"/>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附件：1.疫情防控费用清单子目</w:t>
      </w:r>
    </w:p>
    <w:p>
      <w:pPr>
        <w:keepNext w:val="0"/>
        <w:keepLines w:val="0"/>
        <w:pageBreakBefore w:val="0"/>
        <w:widowControl w:val="0"/>
        <w:suppressAutoHyphens/>
        <w:kinsoku/>
        <w:wordWrap/>
        <w:overflowPunct/>
        <w:topLinePunct w:val="0"/>
        <w:autoSpaceDE/>
        <w:autoSpaceDN/>
        <w:bidi w:val="0"/>
        <w:adjustRightInd w:val="0"/>
        <w:snapToGrid w:val="0"/>
        <w:spacing w:line="580" w:lineRule="exact"/>
        <w:ind w:left="0" w:leftChars="0" w:firstLine="1570" w:firstLineChars="500"/>
        <w:textAlignment w:val="auto"/>
        <w:rPr>
          <w:rFonts w:hint="eastAsia" w:ascii="仿宋_GB2312" w:hAnsi="Times New Roman" w:eastAsia="仿宋_GB2312" w:cs="Times New Roman"/>
          <w:b w:val="0"/>
          <w:bCs w:val="0"/>
          <w:color w:val="auto"/>
          <w:kern w:val="0"/>
          <w:sz w:val="32"/>
          <w:szCs w:val="20"/>
        </w:rPr>
      </w:pPr>
      <w:r>
        <w:rPr>
          <w:rFonts w:hint="eastAsia" w:ascii="仿宋_GB2312" w:hAnsi="Times New Roman" w:eastAsia="仿宋_GB2312" w:cs="Times New Roman"/>
          <w:bCs/>
          <w:color w:val="000000"/>
          <w:sz w:val="32"/>
          <w:szCs w:val="32"/>
          <w:lang w:val="en-US" w:eastAsia="zh-CN"/>
        </w:rPr>
        <w:t>2.疫情防控费用参考表</w:t>
      </w:r>
    </w:p>
    <w:p>
      <w:pPr>
        <w:suppressAutoHyphens/>
        <w:wordWrap w:val="0"/>
        <w:bidi w:val="0"/>
        <w:spacing w:line="580" w:lineRule="atLeast"/>
        <w:jc w:val="right"/>
        <w:rPr>
          <w:rFonts w:hint="eastAsia" w:ascii="仿宋_GB2312" w:hAnsi="Times New Roman" w:eastAsia="仿宋_GB2312" w:cs="Times New Roman"/>
          <w:color w:val="auto"/>
          <w:kern w:val="0"/>
          <w:sz w:val="32"/>
          <w:szCs w:val="20"/>
        </w:rPr>
      </w:pPr>
    </w:p>
    <w:p>
      <w:pPr>
        <w:suppressAutoHyphens/>
        <w:wordWrap/>
        <w:bidi w:val="0"/>
        <w:spacing w:line="580" w:lineRule="atLeast"/>
        <w:jc w:val="right"/>
        <w:rPr>
          <w:rFonts w:hint="eastAsia" w:ascii="仿宋_GB2312" w:hAnsi="Times New Roman" w:eastAsia="仿宋_GB2312" w:cs="Times New Roman"/>
          <w:color w:val="auto"/>
          <w:kern w:val="0"/>
          <w:sz w:val="32"/>
          <w:szCs w:val="20"/>
        </w:rPr>
      </w:pPr>
    </w:p>
    <w:p>
      <w:pPr>
        <w:suppressAutoHyphens/>
        <w:wordWrap/>
        <w:bidi w:val="0"/>
        <w:spacing w:line="580" w:lineRule="atLeast"/>
        <w:jc w:val="right"/>
        <w:rPr>
          <w:rFonts w:hint="eastAsia" w:ascii="仿宋_GB2312" w:hAnsi="Times New Roman" w:eastAsia="仿宋_GB2312" w:cs="Times New Roman"/>
          <w:color w:val="auto"/>
          <w:kern w:val="0"/>
          <w:sz w:val="32"/>
          <w:szCs w:val="20"/>
        </w:rPr>
      </w:pPr>
    </w:p>
    <w:p>
      <w:pPr>
        <w:suppressAutoHyphens/>
        <w:wordWrap w:val="0"/>
        <w:bidi w:val="0"/>
        <w:spacing w:line="580" w:lineRule="atLeast"/>
        <w:jc w:val="right"/>
        <w:rPr>
          <w:rFonts w:hint="eastAsia" w:ascii="仿宋_GB2312" w:hAnsi="Times New Roman" w:eastAsia="仿宋_GB2312" w:cs="Times New Roman"/>
          <w:color w:val="auto"/>
          <w:kern w:val="0"/>
          <w:sz w:val="32"/>
          <w:szCs w:val="20"/>
        </w:rPr>
      </w:pPr>
    </w:p>
    <w:p>
      <w:pPr>
        <w:suppressAutoHyphens/>
        <w:wordWrap w:val="0"/>
        <w:bidi w:val="0"/>
        <w:spacing w:line="580" w:lineRule="atLeast"/>
        <w:jc w:val="right"/>
        <w:rPr>
          <w:rFonts w:hint="eastAsia" w:ascii="仿宋_GB2312" w:hAnsi="Times New Roman" w:eastAsia="仿宋_GB2312" w:cs="Times New Roman"/>
          <w:color w:val="auto"/>
          <w:kern w:val="0"/>
          <w:sz w:val="32"/>
          <w:szCs w:val="20"/>
        </w:rPr>
      </w:pPr>
    </w:p>
    <w:p>
      <w:pPr>
        <w:suppressAutoHyphens/>
        <w:bidi w:val="0"/>
        <w:spacing w:after="0" w:line="600" w:lineRule="exact"/>
        <w:rPr>
          <w:rFonts w:hint="eastAsia" w:ascii="黑体" w:hAnsi="黑体" w:eastAsia="黑体" w:cs="Times New Roman"/>
          <w:color w:val="auto"/>
          <w:sz w:val="32"/>
          <w:szCs w:val="32"/>
        </w:rPr>
      </w:pPr>
      <w:r>
        <w:rPr>
          <w:rFonts w:hint="eastAsia" w:ascii="黑体" w:hAnsi="黑体" w:eastAsia="黑体" w:cs="Times New Roman"/>
          <w:color w:val="auto"/>
          <w:sz w:val="32"/>
          <w:szCs w:val="32"/>
        </w:rPr>
        <w:t>附件1</w:t>
      </w:r>
    </w:p>
    <w:p>
      <w:pPr>
        <w:suppressAutoHyphens/>
        <w:bidi w:val="0"/>
        <w:spacing w:after="0" w:line="60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疫情防控费用清单子目</w:t>
      </w:r>
    </w:p>
    <w:p>
      <w:pPr>
        <w:suppressAutoHyphens/>
        <w:bidi w:val="0"/>
        <w:spacing w:after="0" w:line="600" w:lineRule="exact"/>
        <w:jc w:val="center"/>
        <w:rPr>
          <w:rFonts w:hint="eastAsia" w:ascii="方正小标宋简体" w:hAnsi="方正小标宋简体" w:eastAsia="方正小标宋简体" w:cs="方正小标宋简体"/>
          <w:bCs/>
          <w:color w:val="auto"/>
          <w:sz w:val="44"/>
          <w:szCs w:val="44"/>
        </w:rPr>
      </w:pPr>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2803"/>
        <w:gridCol w:w="1000"/>
        <w:gridCol w:w="988"/>
        <w:gridCol w:w="135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22"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清单子目编码</w:t>
            </w:r>
          </w:p>
        </w:tc>
        <w:tc>
          <w:tcPr>
            <w:tcW w:w="1547"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清单子目名称</w:t>
            </w:r>
          </w:p>
        </w:tc>
        <w:tc>
          <w:tcPr>
            <w:tcW w:w="552"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单位</w:t>
            </w:r>
          </w:p>
        </w:tc>
        <w:tc>
          <w:tcPr>
            <w:tcW w:w="545"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数量</w:t>
            </w:r>
          </w:p>
        </w:tc>
        <w:tc>
          <w:tcPr>
            <w:tcW w:w="745"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单价（元）</w:t>
            </w:r>
          </w:p>
        </w:tc>
        <w:tc>
          <w:tcPr>
            <w:tcW w:w="687"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2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106</w:t>
            </w:r>
          </w:p>
        </w:tc>
        <w:tc>
          <w:tcPr>
            <w:tcW w:w="1547"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疫情防控费用</w:t>
            </w:r>
          </w:p>
        </w:tc>
        <w:tc>
          <w:tcPr>
            <w:tcW w:w="55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c>
          <w:tcPr>
            <w:tcW w:w="545"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c>
          <w:tcPr>
            <w:tcW w:w="745"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c>
          <w:tcPr>
            <w:tcW w:w="687"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106-1</w:t>
            </w:r>
          </w:p>
        </w:tc>
        <w:tc>
          <w:tcPr>
            <w:tcW w:w="1547"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常态化疫情防控费用</w:t>
            </w:r>
          </w:p>
        </w:tc>
        <w:tc>
          <w:tcPr>
            <w:tcW w:w="55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月</w:t>
            </w:r>
          </w:p>
        </w:tc>
        <w:tc>
          <w:tcPr>
            <w:tcW w:w="545"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c>
          <w:tcPr>
            <w:tcW w:w="745"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c>
          <w:tcPr>
            <w:tcW w:w="687"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106-2</w:t>
            </w:r>
          </w:p>
        </w:tc>
        <w:tc>
          <w:tcPr>
            <w:tcW w:w="1547" w:type="pct"/>
            <w:noWrap w:val="0"/>
            <w:vAlign w:val="center"/>
          </w:tcPr>
          <w:p>
            <w:pPr>
              <w:widowControl w:val="0"/>
              <w:suppressAutoHyphens/>
              <w:bidi w:val="0"/>
              <w:spacing w:before="0" w:beforeAutospacing="0" w:after="0" w:afterAutospacing="0" w:line="240" w:lineRule="auto"/>
              <w:jc w:val="center"/>
              <w:rPr>
                <w:rFonts w:hint="eastAsia"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战时疫情防控费用</w:t>
            </w:r>
          </w:p>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（暂估价）</w:t>
            </w:r>
          </w:p>
        </w:tc>
        <w:tc>
          <w:tcPr>
            <w:tcW w:w="55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总额</w:t>
            </w:r>
          </w:p>
        </w:tc>
        <w:tc>
          <w:tcPr>
            <w:tcW w:w="545"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c>
          <w:tcPr>
            <w:tcW w:w="745"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c>
          <w:tcPr>
            <w:tcW w:w="687"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p>
        </w:tc>
      </w:tr>
    </w:tbl>
    <w:p>
      <w:pPr>
        <w:keepNext w:val="0"/>
        <w:keepLines w:val="0"/>
        <w:pageBreakBefore w:val="0"/>
        <w:widowControl w:val="0"/>
        <w:tabs>
          <w:tab w:val="left" w:pos="312"/>
        </w:tabs>
        <w:suppressAutoHyphens/>
        <w:kinsoku/>
        <w:wordWrap/>
        <w:overflowPunct/>
        <w:topLinePunct w:val="0"/>
        <w:autoSpaceDE/>
        <w:autoSpaceDN/>
        <w:bidi w:val="0"/>
        <w:adjustRightInd/>
        <w:snapToGrid/>
        <w:spacing w:after="0" w:line="440" w:lineRule="exact"/>
        <w:ind w:left="702" w:hanging="702" w:hangingChars="300"/>
        <w:textAlignment w:val="auto"/>
        <w:rPr>
          <w:rFonts w:hint="eastAsia" w:ascii="仿宋_GB2312" w:hAnsi="等线" w:eastAsia="仿宋_GB2312" w:cs="Times New Roman"/>
          <w:bCs/>
          <w:color w:val="auto"/>
          <w:sz w:val="24"/>
          <w:szCs w:val="24"/>
        </w:rPr>
      </w:pPr>
      <w:r>
        <w:rPr>
          <w:rFonts w:hint="eastAsia" w:ascii="仿宋_GB2312" w:hAnsi="等线" w:eastAsia="仿宋_GB2312" w:cs="Times New Roman"/>
          <w:bCs/>
          <w:color w:val="auto"/>
          <w:sz w:val="24"/>
          <w:szCs w:val="24"/>
        </w:rPr>
        <w:t>注：1.常态化疫情防控费用包括施工单位的人员进出防护费、防护物资费、相关核酸检测费（由政府承担的除外）、宣传教育费、临时隔离设施费、疫情防控应急演练费等内容；</w:t>
      </w:r>
    </w:p>
    <w:p>
      <w:pPr>
        <w:keepNext w:val="0"/>
        <w:keepLines w:val="0"/>
        <w:pageBreakBefore w:val="0"/>
        <w:widowControl w:val="0"/>
        <w:tabs>
          <w:tab w:val="left" w:pos="312"/>
        </w:tabs>
        <w:suppressAutoHyphens/>
        <w:kinsoku/>
        <w:wordWrap/>
        <w:overflowPunct/>
        <w:topLinePunct w:val="0"/>
        <w:autoSpaceDE/>
        <w:autoSpaceDN/>
        <w:bidi w:val="0"/>
        <w:adjustRightInd/>
        <w:snapToGrid/>
        <w:spacing w:after="0" w:line="440" w:lineRule="exact"/>
        <w:ind w:left="705" w:leftChars="150" w:hanging="234" w:hangingChars="100"/>
        <w:textAlignment w:val="auto"/>
        <w:rPr>
          <w:rFonts w:hint="eastAsia" w:ascii="仿宋_GB2312" w:hAnsi="等线" w:eastAsia="仿宋_GB2312" w:cs="Times New Roman"/>
          <w:bCs/>
          <w:color w:val="auto"/>
          <w:sz w:val="24"/>
          <w:szCs w:val="24"/>
        </w:rPr>
      </w:pPr>
      <w:r>
        <w:rPr>
          <w:rFonts w:hint="eastAsia" w:ascii="仿宋_GB2312" w:hAnsi="等线" w:eastAsia="仿宋_GB2312" w:cs="Times New Roman"/>
          <w:bCs/>
          <w:color w:val="auto"/>
          <w:sz w:val="24"/>
          <w:szCs w:val="24"/>
        </w:rPr>
        <w:t>2.战时疫情防控费用包括疫情防控一、二响应或被列为封控区、管控区（或高中风险区）后按照当地防疫要求发生的除常态化疫情防控外产生的隔离、核酸检测等费用。</w:t>
      </w:r>
    </w:p>
    <w:p>
      <w:pPr>
        <w:suppressAutoHyphens/>
        <w:bidi w:val="0"/>
        <w:spacing w:after="0" w:line="600" w:lineRule="exact"/>
        <w:rPr>
          <w:rFonts w:ascii="黑体" w:hAnsi="黑体" w:eastAsia="黑体" w:cs="Times New Roman"/>
          <w:color w:val="auto"/>
          <w:sz w:val="28"/>
          <w:szCs w:val="28"/>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hint="eastAsia" w:ascii="黑体" w:hAnsi="黑体" w:eastAsia="黑体" w:cs="Times New Roman"/>
          <w:color w:val="auto"/>
          <w:sz w:val="32"/>
          <w:szCs w:val="32"/>
        </w:rPr>
      </w:pPr>
    </w:p>
    <w:p>
      <w:pPr>
        <w:suppressAutoHyphens/>
        <w:bidi w:val="0"/>
        <w:spacing w:after="0" w:line="600" w:lineRule="exact"/>
        <w:rPr>
          <w:rFonts w:ascii="黑体" w:hAnsi="黑体" w:eastAsia="黑体" w:cs="Times New Roman"/>
          <w:color w:val="auto"/>
          <w:sz w:val="32"/>
          <w:szCs w:val="32"/>
        </w:rPr>
      </w:pPr>
      <w:r>
        <w:rPr>
          <w:rFonts w:hint="eastAsia" w:ascii="黑体" w:hAnsi="黑体" w:eastAsia="黑体" w:cs="Times New Roman"/>
          <w:color w:val="auto"/>
          <w:sz w:val="32"/>
          <w:szCs w:val="32"/>
        </w:rPr>
        <w:t>附件2</w:t>
      </w:r>
    </w:p>
    <w:p>
      <w:pPr>
        <w:widowControl w:val="0"/>
        <w:suppressAutoHyphens/>
        <w:bidi w:val="0"/>
        <w:spacing w:before="0" w:beforeAutospacing="0" w:after="0" w:afterAutospacing="0" w:line="560" w:lineRule="exact"/>
        <w:ind w:left="0" w:firstLine="0"/>
        <w:jc w:val="center"/>
        <w:rPr>
          <w:rFonts w:hint="eastAsia" w:ascii="方正小标宋简体" w:hAnsi="方正小标宋简体" w:eastAsia="方正小标宋简体" w:cs="方正小标宋简体"/>
          <w:bCs/>
          <w:color w:val="auto"/>
          <w:kern w:val="0"/>
          <w:sz w:val="44"/>
          <w:szCs w:val="44"/>
          <w:lang w:val="en-US" w:eastAsia="zh-CN" w:bidi="ar-SA"/>
        </w:rPr>
      </w:pPr>
      <w:r>
        <w:rPr>
          <w:rFonts w:hint="eastAsia" w:ascii="方正小标宋简体" w:hAnsi="方正小标宋简体" w:eastAsia="方正小标宋简体" w:cs="方正小标宋简体"/>
          <w:bCs/>
          <w:color w:val="auto"/>
          <w:kern w:val="0"/>
          <w:sz w:val="44"/>
          <w:szCs w:val="44"/>
          <w:lang w:val="en-US" w:eastAsia="zh-CN" w:bidi="ar-SA"/>
        </w:rPr>
        <w:t>疫情防控费用参考表</w:t>
      </w:r>
    </w:p>
    <w:p>
      <w:pPr>
        <w:widowControl w:val="0"/>
        <w:suppressAutoHyphens/>
        <w:bidi w:val="0"/>
        <w:spacing w:before="0" w:beforeAutospacing="0" w:after="0" w:afterAutospacing="0" w:line="560" w:lineRule="exact"/>
        <w:ind w:left="50" w:firstLine="640"/>
        <w:jc w:val="center"/>
        <w:rPr>
          <w:rFonts w:hint="eastAsia" w:ascii="方正小标宋简体" w:hAnsi="方正小标宋简体" w:eastAsia="方正小标宋简体" w:cs="方正小标宋简体"/>
          <w:bCs/>
          <w:color w:val="auto"/>
          <w:kern w:val="0"/>
          <w:sz w:val="44"/>
          <w:szCs w:val="44"/>
          <w:lang w:val="en-US" w:eastAsia="zh-CN" w:bidi="ar-SA"/>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4012"/>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000" w:type="pct"/>
            <w:gridSpan w:val="3"/>
            <w:noWrap w:val="0"/>
            <w:vAlign w:val="center"/>
          </w:tcPr>
          <w:p>
            <w:pPr>
              <w:widowControl w:val="0"/>
              <w:suppressAutoHyphens/>
              <w:bidi w:val="0"/>
              <w:spacing w:before="0" w:beforeAutospacing="0" w:after="0" w:afterAutospacing="0" w:line="240" w:lineRule="auto"/>
              <w:jc w:val="left"/>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一、常态化疫情防控费用参考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52"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序号</w:t>
            </w:r>
          </w:p>
        </w:tc>
        <w:tc>
          <w:tcPr>
            <w:tcW w:w="2214"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标段合同价</w:t>
            </w:r>
          </w:p>
        </w:tc>
        <w:tc>
          <w:tcPr>
            <w:tcW w:w="2132"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常态化疫情防控费用</w:t>
            </w:r>
          </w:p>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（万元/月）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2"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1</w:t>
            </w:r>
          </w:p>
        </w:tc>
        <w:tc>
          <w:tcPr>
            <w:tcW w:w="2214"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0.5亿元（含）-1亿元（不含）</w:t>
            </w:r>
          </w:p>
        </w:tc>
        <w:tc>
          <w:tcPr>
            <w:tcW w:w="2132"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5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2</w:t>
            </w:r>
          </w:p>
        </w:tc>
        <w:tc>
          <w:tcPr>
            <w:tcW w:w="2214"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1亿元（含）-5亿元（不含）</w:t>
            </w:r>
          </w:p>
        </w:tc>
        <w:tc>
          <w:tcPr>
            <w:tcW w:w="213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3</w:t>
            </w:r>
          </w:p>
        </w:tc>
        <w:tc>
          <w:tcPr>
            <w:tcW w:w="2214"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5亿元（含）-20亿元（不含）</w:t>
            </w:r>
          </w:p>
        </w:tc>
        <w:tc>
          <w:tcPr>
            <w:tcW w:w="213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5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4</w:t>
            </w:r>
          </w:p>
        </w:tc>
        <w:tc>
          <w:tcPr>
            <w:tcW w:w="2214"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20亿元（含）-25亿元（不含）</w:t>
            </w:r>
          </w:p>
        </w:tc>
        <w:tc>
          <w:tcPr>
            <w:tcW w:w="213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000" w:type="pct"/>
            <w:gridSpan w:val="3"/>
            <w:noWrap w:val="0"/>
            <w:vAlign w:val="center"/>
          </w:tcPr>
          <w:p>
            <w:pPr>
              <w:widowControl w:val="0"/>
              <w:suppressAutoHyphens/>
              <w:bidi w:val="0"/>
              <w:spacing w:before="0" w:beforeAutospacing="0" w:after="0" w:afterAutospacing="0" w:line="240" w:lineRule="auto"/>
              <w:jc w:val="left"/>
              <w:rPr>
                <w:rFonts w:ascii="仿宋_GB2312" w:hAnsi="Times New Roman" w:eastAsia="仿宋_GB2312"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二、战时疫情防控费用参考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52"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序号</w:t>
            </w:r>
          </w:p>
        </w:tc>
        <w:tc>
          <w:tcPr>
            <w:tcW w:w="2214"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疫情响应等级</w:t>
            </w:r>
          </w:p>
        </w:tc>
        <w:tc>
          <w:tcPr>
            <w:tcW w:w="2132" w:type="pct"/>
            <w:noWrap w:val="0"/>
            <w:vAlign w:val="center"/>
          </w:tcPr>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战时疫情防控费用</w:t>
            </w:r>
          </w:p>
          <w:p>
            <w:pPr>
              <w:widowControl w:val="0"/>
              <w:suppressAutoHyphens/>
              <w:bidi w:val="0"/>
              <w:spacing w:before="0" w:beforeAutospacing="0" w:after="0" w:afterAutospacing="0" w:line="240" w:lineRule="auto"/>
              <w:jc w:val="center"/>
              <w:rPr>
                <w:rFonts w:ascii="黑体" w:hAnsi="黑体" w:eastAsia="黑体" w:cs="Times New Roman"/>
                <w:bCs/>
                <w:color w:val="auto"/>
                <w:kern w:val="0"/>
                <w:sz w:val="24"/>
                <w:szCs w:val="24"/>
                <w:lang w:val="en-US" w:eastAsia="zh-CN" w:bidi="ar-SA"/>
              </w:rPr>
            </w:pPr>
            <w:r>
              <w:rPr>
                <w:rFonts w:hint="eastAsia" w:ascii="黑体" w:hAnsi="黑体" w:eastAsia="黑体" w:cs="Times New Roman"/>
                <w:bCs/>
                <w:color w:val="auto"/>
                <w:kern w:val="0"/>
                <w:sz w:val="24"/>
                <w:szCs w:val="24"/>
                <w:lang w:val="en-US" w:eastAsia="zh-CN" w:bidi="ar-SA"/>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5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1</w:t>
            </w:r>
          </w:p>
        </w:tc>
        <w:tc>
          <w:tcPr>
            <w:tcW w:w="2214"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一级响应（或高风险地区）</w:t>
            </w:r>
          </w:p>
        </w:tc>
        <w:tc>
          <w:tcPr>
            <w:tcW w:w="213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5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2</w:t>
            </w:r>
          </w:p>
        </w:tc>
        <w:tc>
          <w:tcPr>
            <w:tcW w:w="2214"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二级响应（或中风险地区）</w:t>
            </w:r>
          </w:p>
        </w:tc>
        <w:tc>
          <w:tcPr>
            <w:tcW w:w="2132" w:type="pct"/>
            <w:noWrap w:val="0"/>
            <w:vAlign w:val="center"/>
          </w:tcPr>
          <w:p>
            <w:pPr>
              <w:widowControl w:val="0"/>
              <w:suppressAutoHyphens/>
              <w:bidi w:val="0"/>
              <w:spacing w:before="0" w:beforeAutospacing="0" w:after="0" w:afterAutospacing="0" w:line="240" w:lineRule="auto"/>
              <w:jc w:val="center"/>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15</w:t>
            </w:r>
          </w:p>
        </w:tc>
      </w:tr>
    </w:tbl>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440" w:lineRule="exact"/>
        <w:ind w:left="702" w:hanging="702" w:hangingChars="300"/>
        <w:jc w:val="both"/>
        <w:textAlignment w:val="auto"/>
        <w:rPr>
          <w:rFonts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注：1.常态化疫情防控费用以月为单位计量支付。合同金额低于0.5亿元或高于25亿元的由合同双方协商确定；</w:t>
      </w:r>
    </w:p>
    <w:p>
      <w:pPr>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440" w:lineRule="exact"/>
        <w:ind w:firstLine="468" w:firstLineChars="200"/>
        <w:jc w:val="both"/>
        <w:textAlignment w:val="auto"/>
        <w:rPr>
          <w:rFonts w:hint="eastAsia" w:ascii="仿宋_GB2312" w:hAnsi="Times New Roman" w:eastAsia="仿宋_GB2312" w:cs="Times New Roman"/>
          <w:bCs/>
          <w:color w:val="auto"/>
          <w:kern w:val="0"/>
          <w:sz w:val="24"/>
          <w:szCs w:val="24"/>
          <w:lang w:val="en-US" w:eastAsia="zh-CN" w:bidi="ar-SA"/>
        </w:rPr>
      </w:pPr>
      <w:r>
        <w:rPr>
          <w:rFonts w:hint="eastAsia" w:ascii="仿宋_GB2312" w:hAnsi="Times New Roman" w:eastAsia="仿宋_GB2312" w:cs="Times New Roman"/>
          <w:bCs/>
          <w:color w:val="auto"/>
          <w:kern w:val="0"/>
          <w:sz w:val="24"/>
          <w:szCs w:val="24"/>
          <w:lang w:val="en-US" w:eastAsia="zh-CN" w:bidi="ar-SA"/>
        </w:rPr>
        <w:t>2.战时疫情防控费用可依据疫情防控方案要求参考上表中的响应等级的费用计取；</w:t>
      </w:r>
    </w:p>
    <w:p>
      <w:pPr>
        <w:keepNext w:val="0"/>
        <w:keepLines w:val="0"/>
        <w:pageBreakBefore w:val="0"/>
        <w:widowControl w:val="0"/>
        <w:tabs>
          <w:tab w:val="left" w:pos="312"/>
        </w:tabs>
        <w:suppressAutoHyphens/>
        <w:kinsoku/>
        <w:wordWrap/>
        <w:overflowPunct/>
        <w:topLinePunct w:val="0"/>
        <w:autoSpaceDE/>
        <w:autoSpaceDN/>
        <w:bidi w:val="0"/>
        <w:adjustRightInd/>
        <w:snapToGrid/>
        <w:spacing w:after="0" w:line="440" w:lineRule="exact"/>
        <w:ind w:left="480"/>
        <w:textAlignment w:val="auto"/>
        <w:rPr>
          <w:rFonts w:ascii="仿宋_GB2312" w:hAnsi="等线" w:eastAsia="仿宋_GB2312" w:cs="Times New Roman"/>
          <w:bCs/>
          <w:color w:val="auto"/>
          <w:sz w:val="24"/>
          <w:szCs w:val="24"/>
        </w:rPr>
      </w:pPr>
      <w:r>
        <w:rPr>
          <w:rFonts w:hint="eastAsia" w:ascii="仿宋_GB2312" w:hAnsi="等线" w:eastAsia="仿宋_GB2312" w:cs="Times New Roman"/>
          <w:bCs/>
          <w:color w:val="auto"/>
          <w:sz w:val="24"/>
          <w:szCs w:val="24"/>
        </w:rPr>
        <w:t>3.以上费用产生的增值税另行计取，不再计取管理费和利润；</w:t>
      </w:r>
    </w:p>
    <w:p>
      <w:pPr>
        <w:keepNext w:val="0"/>
        <w:keepLines w:val="0"/>
        <w:pageBreakBefore w:val="0"/>
        <w:widowControl w:val="0"/>
        <w:tabs>
          <w:tab w:val="left" w:pos="312"/>
        </w:tabs>
        <w:suppressAutoHyphens/>
        <w:kinsoku/>
        <w:wordWrap/>
        <w:overflowPunct/>
        <w:topLinePunct w:val="0"/>
        <w:autoSpaceDE/>
        <w:autoSpaceDN/>
        <w:bidi w:val="0"/>
        <w:adjustRightInd/>
        <w:snapToGrid/>
        <w:spacing w:after="0" w:line="440" w:lineRule="exact"/>
        <w:ind w:left="480"/>
        <w:textAlignment w:val="auto"/>
        <w:rPr>
          <w:rFonts w:ascii="仿宋_GB2312" w:hAnsi="等线" w:eastAsia="仿宋_GB2312" w:cs="Times New Roman"/>
          <w:bCs/>
          <w:color w:val="auto"/>
          <w:sz w:val="24"/>
          <w:szCs w:val="24"/>
        </w:rPr>
      </w:pPr>
      <w:r>
        <w:rPr>
          <w:rFonts w:hint="eastAsia" w:ascii="仿宋_GB2312" w:hAnsi="等线" w:eastAsia="仿宋_GB2312" w:cs="Times New Roman"/>
          <w:bCs/>
          <w:color w:val="auto"/>
          <w:sz w:val="24"/>
          <w:szCs w:val="24"/>
        </w:rPr>
        <w:t>4.战时疫情防控期间应同步计取常态化疫情防控费用;</w:t>
      </w:r>
    </w:p>
    <w:p>
      <w:pPr>
        <w:tabs>
          <w:tab w:val="left" w:pos="312"/>
        </w:tabs>
        <w:spacing w:line="440" w:lineRule="exact"/>
        <w:ind w:left="480" w:leftChars="0"/>
        <w:jc w:val="left"/>
        <w:rPr>
          <w:rFonts w:hint="eastAsia"/>
          <w:snapToGrid w:val="0"/>
          <w:kern w:val="0"/>
          <w:sz w:val="28"/>
          <w:szCs w:val="28"/>
        </w:rPr>
      </w:pPr>
      <w:r>
        <w:rPr>
          <w:rFonts w:hint="eastAsia" w:ascii="仿宋_GB2312" w:hAnsi="等线" w:eastAsia="仿宋_GB2312" w:cs="Times New Roman"/>
          <w:bCs/>
          <w:color w:val="auto"/>
          <w:sz w:val="24"/>
          <w:szCs w:val="24"/>
        </w:rPr>
        <w:t>5.监理、检测等驻场单位的战时疫情防控费用可参考本标准计取。</w:t>
      </w:r>
    </w:p>
    <w:p/>
    <w:sectPr>
      <w:headerReference r:id="rId3" w:type="default"/>
      <w:footerReference r:id="rId5" w:type="default"/>
      <w:headerReference r:id="rId4" w:type="even"/>
      <w:footerReference r:id="rId6" w:type="even"/>
      <w:pgSz w:w="11906" w:h="16838"/>
      <w:pgMar w:top="1701" w:right="1474" w:bottom="1134" w:left="1587" w:header="851" w:footer="964"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790"/>
        <w:tab w:val="clear" w:pos="4153"/>
      </w:tabs>
      <w:ind w:firstLine="280" w:firstLineChars="100"/>
      <w:rPr>
        <w:rFonts w:hint="eastAsia" w:eastAsia="宋体"/>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sz w:val="28"/>
        <w:szCs w:val="28"/>
        <w:lang w:eastAsia="zh-CN"/>
      </w:rPr>
      <w:tab/>
    </w:r>
    <w:r>
      <w:rPr>
        <w:rFonts w:hint="eastAsia" w:ascii="宋体" w:hAnsi="宋体" w:eastAsia="宋体"/>
        <w:sz w:val="28"/>
        <w:szCs w:val="28"/>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52166DFD"/>
    <w:rsid w:val="5216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2022-09-13T02:53:00Z</dcterms:created>
  <dc:creator>dell</dc:creator>
  <cp:lastModifiedBy>dell</cp:lastModifiedBy>
  <dcterms:modified xsi:type="dcterms:W3CDTF">2022-09-13T02:53:23Z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BEF966C28A6848F6AC138DD15A3B7912</vt:lpwstr>
  </property>
</Properties>
</file>