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outlineLvl w:val="2"/>
        <w:rPr>
          <w:rFonts w:cs="宋体"/>
          <w:kern w:val="0"/>
          <w:sz w:val="32"/>
          <w:szCs w:val="32"/>
          <w:highlight w:val="none"/>
        </w:rPr>
      </w:pPr>
      <w:bookmarkStart w:id="0" w:name="_Toc29634"/>
      <w:bookmarkStart w:id="1" w:name="_Toc11782"/>
      <w:bookmarkStart w:id="2" w:name="_Toc30810"/>
      <w:bookmarkStart w:id="3" w:name="_Toc28718"/>
      <w:bookmarkStart w:id="4" w:name="_Toc4763"/>
      <w:bookmarkStart w:id="20" w:name="_GoBack"/>
      <w:bookmarkEnd w:id="20"/>
      <w:r>
        <w:rPr>
          <w:rFonts w:hint="eastAsia" w:ascii="黑体" w:eastAsia="黑体" w:cs="宋体"/>
          <w:kern w:val="0"/>
          <w:sz w:val="32"/>
          <w:szCs w:val="32"/>
          <w:highlight w:val="none"/>
        </w:rPr>
        <w:t>附录</w:t>
      </w:r>
      <w:r>
        <w:rPr>
          <w:rFonts w:hint="eastAsia" w:eastAsia="黑体" w:cs="宋体"/>
          <w:kern w:val="0"/>
          <w:sz w:val="32"/>
          <w:szCs w:val="32"/>
          <w:highlight w:val="none"/>
        </w:rPr>
        <w:t>1</w:t>
      </w:r>
      <w:r>
        <w:rPr>
          <w:rFonts w:hint="eastAsia" w:ascii="黑体" w:eastAsia="黑体" w:cs="宋体"/>
          <w:kern w:val="0"/>
          <w:sz w:val="32"/>
          <w:szCs w:val="32"/>
          <w:highlight w:val="none"/>
        </w:rPr>
        <w:t>资格审查条件</w:t>
      </w:r>
      <w:r>
        <w:rPr>
          <w:rFonts w:hint="eastAsia" w:cs="宋体"/>
          <w:kern w:val="0"/>
          <w:sz w:val="32"/>
          <w:szCs w:val="32"/>
          <w:highlight w:val="none"/>
        </w:rPr>
        <w:t>（资质最低条件）</w:t>
      </w:r>
      <w:bookmarkEnd w:id="0"/>
      <w:bookmarkEnd w:id="1"/>
      <w:bookmarkEnd w:id="2"/>
      <w:bookmarkEnd w:id="3"/>
      <w:bookmarkEnd w:id="4"/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kern w:val="0"/>
          <w:szCs w:val="21"/>
          <w:highlight w:val="none"/>
        </w:rPr>
      </w:pPr>
    </w:p>
    <w:tbl>
      <w:tblPr>
        <w:tblStyle w:val="4"/>
        <w:tblW w:w="91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1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spacing w:val="4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cs="宋体"/>
                <w:b/>
                <w:spacing w:val="40"/>
                <w:kern w:val="0"/>
                <w:sz w:val="24"/>
                <w:szCs w:val="21"/>
                <w:highlight w:val="none"/>
              </w:rPr>
              <w:t>企业资质等级要求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91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微软雅黑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次招标要求投标人具备独立法人资格，具有工程设计综合甲级资质或水运行业工程设计甲级资质；持有工商行政管理部门（或市场监督部门）核发的有效企业法人营业执照或事业单位法人证书，并在人员组成结构、履约信誉等方面满足强制性资格条件要求。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kern w:val="0"/>
          <w:szCs w:val="21"/>
          <w:highlight w:val="none"/>
        </w:rPr>
      </w:pPr>
      <w:r>
        <w:rPr>
          <w:rFonts w:hint="eastAsia" w:cs="宋体"/>
          <w:szCs w:val="21"/>
          <w:highlight w:val="none"/>
        </w:rPr>
        <w:t>注：本表所要求的资质标准投标人必须在第七章第一卷资格审查表“（一）投标人基本情况表”后附</w:t>
      </w:r>
      <w:r>
        <w:rPr>
          <w:rFonts w:hint="eastAsia" w:cs="宋体"/>
          <w:kern w:val="0"/>
          <w:szCs w:val="21"/>
          <w:highlight w:val="none"/>
        </w:rPr>
        <w:t>法人营业执照副本（全本）的清晰扫描件或复印件、资质证书副本（全本）的清晰扫描件或复印件。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kern w:val="0"/>
          <w:szCs w:val="21"/>
          <w:highlight w:val="none"/>
        </w:rPr>
      </w:pPr>
      <w:r>
        <w:rPr>
          <w:rFonts w:cs="宋体"/>
          <w:kern w:val="0"/>
          <w:szCs w:val="21"/>
          <w:highlight w:val="none"/>
        </w:rPr>
        <w:br w:type="page"/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kern w:val="0"/>
          <w:szCs w:val="21"/>
          <w:highlight w:val="none"/>
        </w:rPr>
      </w:pPr>
    </w:p>
    <w:p>
      <w:pPr>
        <w:pStyle w:val="3"/>
        <w:jc w:val="center"/>
        <w:rPr>
          <w:rFonts w:asciiTheme="minorEastAsia" w:hAnsiTheme="minorEastAsia" w:eastAsiaTheme="minorEastAsia"/>
          <w:color w:val="auto"/>
          <w:szCs w:val="21"/>
          <w:highlight w:val="none"/>
        </w:rPr>
      </w:pPr>
      <w:bookmarkStart w:id="5" w:name="_Toc18104"/>
      <w:bookmarkStart w:id="6" w:name="_Toc2330"/>
      <w:bookmarkStart w:id="7" w:name="_Toc8748"/>
      <w:bookmarkStart w:id="8" w:name="_Toc25212"/>
      <w:bookmarkStart w:id="9" w:name="_Toc18168"/>
      <w:bookmarkStart w:id="10" w:name="_Toc3759"/>
      <w:bookmarkStart w:id="11" w:name="_Toc9278"/>
      <w:r>
        <w:rPr>
          <w:rFonts w:hint="eastAsia" w:asciiTheme="minorEastAsia" w:hAnsiTheme="minorEastAsia" w:eastAsiaTheme="minorEastAsia"/>
          <w:color w:val="auto"/>
          <w:szCs w:val="24"/>
          <w:highlight w:val="none"/>
        </w:rPr>
        <w:t>附录2 资格审查条件（业绩最低要求）</w:t>
      </w:r>
      <w:bookmarkEnd w:id="5"/>
      <w:bookmarkEnd w:id="6"/>
      <w:bookmarkEnd w:id="7"/>
      <w:bookmarkEnd w:id="8"/>
      <w:bookmarkEnd w:id="9"/>
    </w:p>
    <w:p>
      <w:pPr>
        <w:spacing w:line="360" w:lineRule="auto"/>
        <w:jc w:val="center"/>
        <w:rPr>
          <w:rFonts w:asciiTheme="minorEastAsia" w:hAnsiTheme="minorEastAsia" w:eastAsiaTheme="minorEastAsia"/>
          <w:szCs w:val="21"/>
          <w:highlight w:val="none"/>
        </w:rPr>
      </w:pPr>
    </w:p>
    <w:tbl>
      <w:tblPr>
        <w:tblStyle w:val="4"/>
        <w:tblW w:w="935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35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业绩要求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35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ind w:firstLine="420" w:firstLineChars="200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不做要求。</w:t>
            </w:r>
          </w:p>
        </w:tc>
      </w:tr>
    </w:tbl>
    <w:p>
      <w:pPr>
        <w:spacing w:line="400" w:lineRule="exact"/>
        <w:ind w:firstLine="420" w:firstLineChars="200"/>
        <w:textAlignment w:val="baseline"/>
        <w:rPr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center"/>
        <w:outlineLvl w:val="2"/>
        <w:rPr>
          <w:rFonts w:ascii="宋体" w:hAnsi="宋体" w:cs="宋体"/>
          <w:kern w:val="0"/>
          <w:sz w:val="32"/>
          <w:szCs w:val="32"/>
          <w:highlight w:val="none"/>
        </w:rPr>
      </w:pPr>
      <w:bookmarkStart w:id="12" w:name="_Toc2280"/>
      <w:bookmarkStart w:id="13" w:name="_Toc13651"/>
      <w:bookmarkStart w:id="14" w:name="_Toc16221"/>
      <w:r>
        <w:rPr>
          <w:rFonts w:hint="eastAsia" w:ascii="黑体" w:eastAsia="黑体" w:cs="宋体"/>
          <w:kern w:val="0"/>
          <w:sz w:val="32"/>
          <w:szCs w:val="32"/>
          <w:highlight w:val="none"/>
        </w:rPr>
        <w:t>附录</w:t>
      </w:r>
      <w:r>
        <w:rPr>
          <w:rFonts w:hint="eastAsia" w:eastAsia="黑体" w:cs="宋体"/>
          <w:kern w:val="0"/>
          <w:sz w:val="32"/>
          <w:szCs w:val="32"/>
          <w:highlight w:val="none"/>
        </w:rPr>
        <w:t xml:space="preserve">3 </w:t>
      </w:r>
      <w:r>
        <w:rPr>
          <w:rFonts w:hint="eastAsia" w:ascii="黑体" w:eastAsia="黑体" w:cs="宋体"/>
          <w:kern w:val="0"/>
          <w:sz w:val="32"/>
          <w:szCs w:val="32"/>
          <w:highlight w:val="none"/>
        </w:rPr>
        <w:t>资格审查条件</w:t>
      </w:r>
      <w:r>
        <w:rPr>
          <w:rFonts w:hint="eastAsia" w:ascii="宋体" w:hAnsi="宋体" w:cs="宋体"/>
          <w:kern w:val="0"/>
          <w:sz w:val="32"/>
          <w:szCs w:val="32"/>
          <w:highlight w:val="none"/>
        </w:rPr>
        <w:t>（主要人员最低要求）</w:t>
      </w:r>
      <w:bookmarkEnd w:id="10"/>
      <w:bookmarkEnd w:id="11"/>
      <w:bookmarkEnd w:id="12"/>
      <w:bookmarkEnd w:id="13"/>
      <w:bookmarkEnd w:id="14"/>
    </w:p>
    <w:p>
      <w:pPr>
        <w:pStyle w:val="2"/>
        <w:rPr>
          <w:highlight w:val="none"/>
        </w:rPr>
      </w:pPr>
    </w:p>
    <w:tbl>
      <w:tblPr>
        <w:tblStyle w:val="4"/>
        <w:tblW w:w="95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224"/>
        <w:gridCol w:w="5332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spacing w:val="4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cs="宋体"/>
                <w:b/>
                <w:spacing w:val="40"/>
                <w:kern w:val="0"/>
                <w:sz w:val="24"/>
                <w:szCs w:val="21"/>
                <w:highlight w:val="none"/>
              </w:rPr>
              <w:t>人员</w:t>
            </w:r>
          </w:p>
        </w:tc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cs="宋体"/>
                <w:b/>
                <w:kern w:val="0"/>
                <w:sz w:val="24"/>
                <w:szCs w:val="21"/>
                <w:highlight w:val="none"/>
              </w:rPr>
              <w:t>数量</w:t>
            </w:r>
          </w:p>
        </w:tc>
        <w:tc>
          <w:tcPr>
            <w:tcW w:w="533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spacing w:val="4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cs="宋体"/>
                <w:b/>
                <w:spacing w:val="40"/>
                <w:kern w:val="0"/>
                <w:sz w:val="24"/>
                <w:szCs w:val="21"/>
                <w:highlight w:val="none"/>
              </w:rPr>
              <w:t>资格要求</w:t>
            </w:r>
          </w:p>
        </w:tc>
        <w:tc>
          <w:tcPr>
            <w:tcW w:w="16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spacing w:val="4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cs="宋体"/>
                <w:b/>
                <w:spacing w:val="40"/>
                <w:kern w:val="0"/>
                <w:sz w:val="24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spacing w:val="-4"/>
                <w:szCs w:val="21"/>
                <w:highlight w:val="none"/>
              </w:rPr>
            </w:pPr>
            <w:r>
              <w:rPr>
                <w:rFonts w:hint="eastAsia"/>
                <w:spacing w:val="-4"/>
                <w:szCs w:val="21"/>
                <w:highlight w:val="none"/>
              </w:rPr>
              <w:t>项目负责人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b/>
                <w:spacing w:val="-4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b/>
                <w:spacing w:val="-4"/>
                <w:szCs w:val="21"/>
                <w:highlight w:val="none"/>
              </w:rPr>
            </w:pPr>
            <w:r>
              <w:rPr>
                <w:b/>
                <w:spacing w:val="-4"/>
                <w:szCs w:val="21"/>
                <w:highlight w:val="none"/>
              </w:rPr>
              <w:t>具有</w:t>
            </w:r>
            <w:r>
              <w:rPr>
                <w:rFonts w:hint="eastAsia"/>
                <w:b/>
                <w:spacing w:val="-4"/>
                <w:szCs w:val="21"/>
                <w:highlight w:val="none"/>
              </w:rPr>
              <w:t>港口与航道专业类高级</w:t>
            </w:r>
            <w:r>
              <w:rPr>
                <w:b/>
                <w:spacing w:val="-4"/>
                <w:szCs w:val="21"/>
                <w:highlight w:val="none"/>
              </w:rPr>
              <w:t>工程师及以上职称</w:t>
            </w:r>
            <w:r>
              <w:rPr>
                <w:rFonts w:hint="eastAsia"/>
                <w:b/>
                <w:spacing w:val="-4"/>
                <w:szCs w:val="21"/>
                <w:highlight w:val="none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b/>
                <w:spacing w:val="-4"/>
                <w:szCs w:val="21"/>
                <w:highlight w:val="none"/>
              </w:rPr>
            </w:pPr>
          </w:p>
        </w:tc>
        <w:tc>
          <w:tcPr>
            <w:tcW w:w="164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spacing w:val="-4"/>
                <w:szCs w:val="21"/>
                <w:highlight w:val="none"/>
              </w:rPr>
            </w:pPr>
            <w:r>
              <w:rPr>
                <w:rFonts w:hint="eastAsia"/>
                <w:b/>
                <w:spacing w:val="-4"/>
                <w:szCs w:val="21"/>
                <w:highlight w:val="none"/>
              </w:rPr>
              <w:t>自有人员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szCs w:val="21"/>
          <w:highlight w:val="none"/>
        </w:rPr>
      </w:pPr>
      <w:r>
        <w:rPr>
          <w:rFonts w:hint="eastAsia" w:cs="宋体"/>
          <w:szCs w:val="21"/>
          <w:highlight w:val="none"/>
        </w:rPr>
        <w:t>注：1、对公示的推荐中标候选人及拟委任的项目负责人，招标人定标前将通过中国裁判文书网（http://wenshu.court.gov.cn/）进行行贿犯罪记录查询，查询结果以网站页面显示内容为准。查实中标候选人或拟委任的项目负责人自2019年7月1日以来有行贿犯罪行为的（以中国裁判文书网页面显示内容为准，时间以法院判决书判决的日期为准），则取消该中标候选人的中标资格。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szCs w:val="21"/>
          <w:highlight w:val="none"/>
        </w:rPr>
      </w:pPr>
      <w:r>
        <w:rPr>
          <w:rFonts w:hint="eastAsia" w:cs="宋体"/>
          <w:szCs w:val="21"/>
          <w:highlight w:val="none"/>
        </w:rPr>
        <w:t>2、投标人必须在第七章第一卷资格审查表“拟委任的主要人员汇总表”后附拟委任的主要人员身份证（正反面复印）、职称证书等的复印件。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szCs w:val="21"/>
          <w:highlight w:val="none"/>
        </w:rPr>
      </w:pPr>
      <w:r>
        <w:rPr>
          <w:rFonts w:hint="eastAsia" w:cs="宋体"/>
          <w:szCs w:val="21"/>
          <w:highlight w:val="none"/>
        </w:rPr>
        <w:t>3、投标人所属社保机构出具的拟委任的项目负责人的2022年4月、2022年5月、2022年6月连续三个月的社保缴费证明（须由社保机构出具并盖章或当地政务网上自助下载打印件，社保机构出具的缴费单位名称必须与投标人名称一致）扫描件。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szCs w:val="21"/>
          <w:highlight w:val="none"/>
        </w:rPr>
      </w:pPr>
      <w:r>
        <w:rPr>
          <w:rFonts w:hint="eastAsia" w:cs="宋体"/>
          <w:szCs w:val="21"/>
          <w:highlight w:val="none"/>
        </w:rPr>
        <w:t>4、所有证件资料均应采用清晰扫描件或复印件。</w:t>
      </w:r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kern w:val="0"/>
          <w:szCs w:val="21"/>
          <w:highlight w:val="none"/>
        </w:rPr>
      </w:pPr>
      <w:r>
        <w:rPr>
          <w:rFonts w:cs="宋体"/>
          <w:kern w:val="0"/>
          <w:szCs w:val="21"/>
          <w:highlight w:val="none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center"/>
        <w:outlineLvl w:val="2"/>
        <w:rPr>
          <w:rFonts w:cs="宋体"/>
          <w:kern w:val="0"/>
          <w:sz w:val="32"/>
          <w:szCs w:val="32"/>
          <w:highlight w:val="none"/>
        </w:rPr>
      </w:pPr>
      <w:bookmarkStart w:id="15" w:name="_Toc27928"/>
      <w:bookmarkStart w:id="16" w:name="_Toc12425"/>
      <w:bookmarkStart w:id="17" w:name="_Toc15967"/>
      <w:bookmarkStart w:id="18" w:name="_Toc22247"/>
      <w:bookmarkStart w:id="19" w:name="_Toc22636"/>
      <w:r>
        <w:rPr>
          <w:rFonts w:hint="eastAsia" w:ascii="黑体" w:eastAsia="黑体" w:cs="宋体"/>
          <w:kern w:val="0"/>
          <w:sz w:val="32"/>
          <w:szCs w:val="32"/>
          <w:highlight w:val="none"/>
        </w:rPr>
        <w:t>附录</w:t>
      </w:r>
      <w:r>
        <w:rPr>
          <w:rFonts w:hint="eastAsia" w:eastAsia="黑体" w:cs="宋体"/>
          <w:kern w:val="0"/>
          <w:sz w:val="32"/>
          <w:szCs w:val="32"/>
          <w:highlight w:val="none"/>
        </w:rPr>
        <w:t xml:space="preserve">4 </w:t>
      </w:r>
      <w:r>
        <w:rPr>
          <w:rFonts w:hint="eastAsia" w:ascii="黑体" w:eastAsia="黑体" w:cs="宋体"/>
          <w:kern w:val="0"/>
          <w:sz w:val="32"/>
          <w:szCs w:val="32"/>
          <w:highlight w:val="none"/>
        </w:rPr>
        <w:t>资格审查条件</w:t>
      </w:r>
      <w:r>
        <w:rPr>
          <w:rFonts w:hint="eastAsia" w:cs="宋体"/>
          <w:kern w:val="0"/>
          <w:sz w:val="32"/>
          <w:szCs w:val="32"/>
          <w:highlight w:val="none"/>
        </w:rPr>
        <w:t>（信誉最低要求）</w:t>
      </w:r>
      <w:bookmarkEnd w:id="15"/>
      <w:bookmarkEnd w:id="16"/>
      <w:bookmarkEnd w:id="17"/>
      <w:bookmarkEnd w:id="18"/>
      <w:bookmarkEnd w:id="19"/>
    </w:p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cs="宋体"/>
          <w:kern w:val="0"/>
          <w:szCs w:val="21"/>
          <w:highlight w:val="none"/>
        </w:rPr>
      </w:pPr>
    </w:p>
    <w:tbl>
      <w:tblPr>
        <w:tblStyle w:val="4"/>
        <w:tblW w:w="90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0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spacing w:val="40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cs="宋体"/>
                <w:b/>
                <w:spacing w:val="40"/>
                <w:kern w:val="0"/>
                <w:sz w:val="24"/>
                <w:szCs w:val="21"/>
                <w:highlight w:val="none"/>
              </w:rPr>
              <w:t>信誉要求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905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 w:firstLineChars="200"/>
              <w:rPr>
                <w:rFonts w:cs="宋体"/>
                <w:kern w:val="0"/>
                <w:szCs w:val="21"/>
                <w:highlight w:val="none"/>
              </w:rPr>
            </w:pPr>
            <w:r>
              <w:rPr>
                <w:rFonts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cs="宋体"/>
                <w:kern w:val="0"/>
                <w:szCs w:val="21"/>
                <w:highlight w:val="none"/>
              </w:rPr>
              <w:t>、不存在投标人须知第</w:t>
            </w:r>
            <w:r>
              <w:rPr>
                <w:rFonts w:cs="宋体"/>
                <w:kern w:val="0"/>
                <w:szCs w:val="21"/>
                <w:highlight w:val="none"/>
              </w:rPr>
              <w:t>1.4.3</w:t>
            </w:r>
            <w:r>
              <w:rPr>
                <w:rFonts w:hint="eastAsia" w:cs="宋体"/>
                <w:kern w:val="0"/>
                <w:szCs w:val="21"/>
                <w:highlight w:val="none"/>
              </w:rPr>
              <w:t>、1.4.4项的情形。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20" w:firstLineChars="200"/>
              <w:rPr>
                <w:rFonts w:cs="宋体"/>
                <w:kern w:val="0"/>
                <w:szCs w:val="21"/>
                <w:highlight w:val="none"/>
              </w:rPr>
            </w:pPr>
            <w:r>
              <w:rPr>
                <w:rFonts w:cs="宋体"/>
                <w:kern w:val="0"/>
                <w:szCs w:val="21"/>
                <w:highlight w:val="none"/>
              </w:rPr>
              <w:t>2</w:t>
            </w:r>
            <w:r>
              <w:rPr>
                <w:rFonts w:hint="eastAsia" w:cs="宋体"/>
                <w:kern w:val="0"/>
                <w:szCs w:val="21"/>
                <w:highlight w:val="none"/>
              </w:rPr>
              <w:t>、自</w:t>
            </w:r>
            <w:r>
              <w:rPr>
                <w:rFonts w:cs="宋体"/>
                <w:kern w:val="0"/>
                <w:szCs w:val="21"/>
                <w:highlight w:val="none"/>
              </w:rPr>
              <w:t>201</w:t>
            </w:r>
            <w:r>
              <w:rPr>
                <w:rFonts w:hint="eastAsia" w:cs="宋体"/>
                <w:kern w:val="0"/>
                <w:szCs w:val="21"/>
                <w:highlight w:val="none"/>
              </w:rPr>
              <w:t>9</w:t>
            </w:r>
            <w:r>
              <w:rPr>
                <w:rFonts w:cs="宋体"/>
                <w:kern w:val="0"/>
                <w:szCs w:val="21"/>
                <w:highlight w:val="none"/>
              </w:rPr>
              <w:t>年</w:t>
            </w:r>
            <w:r>
              <w:rPr>
                <w:rFonts w:hint="eastAsia" w:cs="宋体"/>
                <w:kern w:val="0"/>
                <w:szCs w:val="21"/>
                <w:highlight w:val="none"/>
              </w:rPr>
              <w:t>7</w:t>
            </w:r>
            <w:r>
              <w:rPr>
                <w:rFonts w:cs="宋体"/>
                <w:kern w:val="0"/>
                <w:szCs w:val="21"/>
                <w:highlight w:val="none"/>
              </w:rPr>
              <w:t>月1日</w:t>
            </w:r>
            <w:r>
              <w:rPr>
                <w:rFonts w:hint="eastAsia" w:cs="宋体"/>
                <w:kern w:val="0"/>
                <w:szCs w:val="21"/>
                <w:highlight w:val="none"/>
              </w:rPr>
              <w:t>以来，投标人无行贿等职务犯罪行为。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ind w:firstLine="420" w:firstLineChars="200"/>
        <w:jc w:val="left"/>
        <w:rPr>
          <w:rFonts w:ascii="楷体_GB2312" w:eastAsia="楷体_GB2312"/>
          <w:b/>
          <w:szCs w:val="24"/>
          <w:highlight w:val="none"/>
        </w:rPr>
      </w:pPr>
      <w:r>
        <w:rPr>
          <w:rFonts w:hint="eastAsia"/>
          <w:szCs w:val="21"/>
          <w:highlight w:val="none"/>
        </w:rPr>
        <w:t>注：</w:t>
      </w:r>
      <w:r>
        <w:rPr>
          <w:rFonts w:hint="eastAsia"/>
          <w:szCs w:val="24"/>
          <w:highlight w:val="none"/>
        </w:rPr>
        <w:t>对公示的推荐中标候选人及拟委任的项目负责人，招标人定标前将通过中国裁判文书网（</w:t>
      </w:r>
      <w:r>
        <w:rPr>
          <w:szCs w:val="24"/>
          <w:highlight w:val="none"/>
        </w:rPr>
        <w:t>http://wenshu.court.gov.cn/）进行行贿犯罪记录查询，查询结果以网站页面显示内容为准。查实中标候选人或拟委任的项目</w:t>
      </w:r>
      <w:r>
        <w:rPr>
          <w:rFonts w:hint="eastAsia"/>
          <w:szCs w:val="24"/>
          <w:highlight w:val="none"/>
        </w:rPr>
        <w:t>负责人</w:t>
      </w:r>
      <w:r>
        <w:rPr>
          <w:szCs w:val="24"/>
          <w:highlight w:val="none"/>
        </w:rPr>
        <w:t>自20</w:t>
      </w:r>
      <w:r>
        <w:rPr>
          <w:rFonts w:hint="eastAsia"/>
          <w:szCs w:val="24"/>
          <w:highlight w:val="none"/>
        </w:rPr>
        <w:t>19</w:t>
      </w:r>
      <w:r>
        <w:rPr>
          <w:szCs w:val="24"/>
          <w:highlight w:val="none"/>
        </w:rPr>
        <w:t>年</w:t>
      </w:r>
      <w:r>
        <w:rPr>
          <w:rFonts w:hint="eastAsia"/>
          <w:szCs w:val="24"/>
          <w:highlight w:val="none"/>
        </w:rPr>
        <w:t>7</w:t>
      </w:r>
      <w:r>
        <w:rPr>
          <w:szCs w:val="24"/>
          <w:highlight w:val="none"/>
        </w:rPr>
        <w:t>月1日以来有行贿犯罪行为的（以中国裁判文书网页面显示内容为准，时间以法院判决书判决的日期为准），则取消该中标候选人的中标资格。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YThmNjBiOTM5MjA4Mjk0NGMxZjAwOTE1YzUyOGQifQ=="/>
  </w:docVars>
  <w:rsids>
    <w:rsidRoot w:val="73D0165F"/>
    <w:rsid w:val="73D0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color w:val="000000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2022-08-17T02:11:00Z</dcterms:created>
  <dc:creator>O_Y</dc:creator>
  <cp:lastModifiedBy>O_Y</cp:lastModifiedBy>
  <dcterms:modified xsi:type="dcterms:W3CDTF">2022-08-17T02:12:00Z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449BE2AC43C641C5853D8F7FD3EE3923</vt:lpwstr>
  </property>
</Properties>
</file>