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2"/>
        <w:rPr>
          <w:rFonts w:ascii="仿宋_GB2312" w:hAnsi="宋体" w:eastAsia="仿宋_GB2312"/>
          <w:b/>
          <w:color w:val="auto"/>
          <w:sz w:val="28"/>
          <w:highlight w:val="none"/>
        </w:rPr>
      </w:pPr>
      <w:bookmarkStart w:id="0" w:name="_Toc525625364"/>
      <w:r>
        <w:rPr>
          <w:rFonts w:hint="eastAsia" w:ascii="仿宋_GB2312" w:hAnsi="宋体" w:eastAsia="仿宋_GB2312"/>
          <w:b/>
          <w:color w:val="auto"/>
          <w:sz w:val="28"/>
          <w:highlight w:val="none"/>
        </w:rPr>
        <w:t>附录1：资格审查条件（资质条件）</w:t>
      </w:r>
      <w:bookmarkEnd w:id="0"/>
    </w:p>
    <w:p>
      <w:pPr>
        <w:spacing w:after="120"/>
        <w:ind w:firstLine="1049"/>
        <w:rPr>
          <w:rFonts w:ascii="仿宋_GB2312" w:eastAsia="仿宋_GB2312"/>
          <w:color w:val="auto"/>
          <w:spacing w:val="-4"/>
          <w:sz w:val="24"/>
          <w:highlight w:val="none"/>
        </w:rPr>
      </w:pPr>
    </w:p>
    <w:p>
      <w:pPr>
        <w:spacing w:after="120"/>
        <w:ind w:firstLine="232" w:firstLineChars="100"/>
        <w:rPr>
          <w:rFonts w:hint="eastAsia" w:ascii="仿宋_GB2312" w:eastAsia="仿宋_GB2312"/>
          <w:color w:val="auto"/>
          <w:sz w:val="24"/>
          <w:highlight w:val="none"/>
        </w:rPr>
      </w:pPr>
      <w:r>
        <w:rPr>
          <w:rFonts w:hint="eastAsia" w:ascii="仿宋_GB2312" w:eastAsia="仿宋_GB2312"/>
          <w:color w:val="auto"/>
          <w:spacing w:val="-4"/>
          <w:sz w:val="24"/>
          <w:highlight w:val="none"/>
        </w:rPr>
        <w:t>标段</w:t>
      </w:r>
      <w:r>
        <w:rPr>
          <w:rFonts w:hint="eastAsia" w:ascii="仿宋_GB2312" w:eastAsia="仿宋_GB2312"/>
          <w:color w:val="auto"/>
          <w:sz w:val="24"/>
          <w:highlight w:val="none"/>
        </w:rPr>
        <w:t>：</w:t>
      </w:r>
      <w:r>
        <w:rPr>
          <w:rFonts w:hint="eastAsia" w:ascii="仿宋_GB2312" w:hAnsi="Calibri" w:eastAsia="仿宋_GB2312" w:cs="仿宋_GB2312"/>
          <w:color w:val="auto"/>
          <w:sz w:val="24"/>
          <w:szCs w:val="22"/>
          <w:highlight w:val="none"/>
          <w:u w:val="single"/>
          <w:lang w:bidi="ar"/>
        </w:rPr>
        <w:t>第JL01标段</w:t>
      </w:r>
    </w:p>
    <w:tbl>
      <w:tblPr>
        <w:tblStyle w:val="5"/>
        <w:tblW w:w="84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64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984" w:type="dxa"/>
            <w:noWrap w:val="0"/>
            <w:vAlign w:val="center"/>
          </w:tcPr>
          <w:p>
            <w:pPr>
              <w:spacing w:line="32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项 目</w:t>
            </w:r>
          </w:p>
        </w:tc>
        <w:tc>
          <w:tcPr>
            <w:tcW w:w="6498" w:type="dxa"/>
            <w:noWrap w:val="0"/>
            <w:vAlign w:val="center"/>
          </w:tcPr>
          <w:p>
            <w:pPr>
              <w:spacing w:line="32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条   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2" w:hRule="atLeast"/>
          <w:jc w:val="center"/>
        </w:trPr>
        <w:tc>
          <w:tcPr>
            <w:tcW w:w="1984" w:type="dxa"/>
            <w:noWrap w:val="0"/>
            <w:vAlign w:val="center"/>
          </w:tcPr>
          <w:p>
            <w:pPr>
              <w:spacing w:line="32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资 质</w:t>
            </w:r>
          </w:p>
        </w:tc>
        <w:tc>
          <w:tcPr>
            <w:tcW w:w="6498" w:type="dxa"/>
            <w:noWrap w:val="0"/>
            <w:vAlign w:val="center"/>
          </w:tcPr>
          <w:p>
            <w:pPr>
              <w:spacing w:line="360" w:lineRule="exact"/>
              <w:ind w:firstLine="420" w:firstLineChars="200"/>
              <w:rPr>
                <w:rFonts w:hint="eastAsia"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投标人具备独立法人资格，交通运输主管部门核发的水运工程甲级监理资质，持有工商行政管理部门核发的有效企业法人营业执照或法人事业单位。</w:t>
            </w:r>
          </w:p>
          <w:p>
            <w:pPr>
              <w:pStyle w:val="4"/>
              <w:ind w:firstLine="376"/>
              <w:rPr>
                <w:color w:val="auto"/>
                <w:highlight w:val="none"/>
                <w:lang w:val="en-US" w:eastAsia="zh-CN"/>
              </w:rPr>
            </w:pPr>
          </w:p>
        </w:tc>
      </w:tr>
    </w:tbl>
    <w:p>
      <w:pPr>
        <w:spacing w:line="400" w:lineRule="exact"/>
        <w:ind w:firstLine="360" w:firstLineChars="200"/>
        <w:jc w:val="left"/>
        <w:rPr>
          <w:rFonts w:ascii="仿宋_GB2312" w:hAnsi="宋体" w:eastAsia="仿宋_GB2312"/>
          <w:color w:val="auto"/>
          <w:sz w:val="18"/>
          <w:szCs w:val="18"/>
          <w:highlight w:val="none"/>
        </w:rPr>
      </w:pPr>
    </w:p>
    <w:p>
      <w:pPr>
        <w:spacing w:line="360" w:lineRule="exact"/>
        <w:rPr>
          <w:rFonts w:ascii="仿宋_GB2312" w:hAnsi="宋体" w:eastAsia="仿宋_GB2312"/>
          <w:b/>
          <w:color w:val="auto"/>
          <w:highlight w:val="none"/>
        </w:rPr>
      </w:pPr>
    </w:p>
    <w:p>
      <w:pPr>
        <w:spacing w:line="400" w:lineRule="exact"/>
        <w:outlineLvl w:val="2"/>
        <w:rPr>
          <w:rFonts w:ascii="仿宋_GB2312" w:hAnsi="宋体" w:eastAsia="仿宋_GB2312"/>
          <w:b/>
          <w:color w:val="auto"/>
          <w:sz w:val="28"/>
          <w:highlight w:val="none"/>
        </w:rPr>
      </w:pPr>
      <w:r>
        <w:rPr>
          <w:rFonts w:hint="eastAsia" w:ascii="仿宋_GB2312" w:hAnsi="宋体" w:eastAsia="仿宋_GB2312"/>
          <w:b/>
          <w:color w:val="auto"/>
          <w:highlight w:val="none"/>
        </w:rPr>
        <w:br w:type="page"/>
      </w:r>
      <w:bookmarkStart w:id="1" w:name="_Toc525625365"/>
      <w:bookmarkStart w:id="2" w:name="_Toc436320406"/>
      <w:bookmarkStart w:id="3" w:name="_Toc433917975"/>
      <w:bookmarkStart w:id="4" w:name="_Toc433919291"/>
      <w:bookmarkStart w:id="5" w:name="_Toc436317119"/>
      <w:bookmarkStart w:id="6" w:name="_Toc440230849"/>
      <w:bookmarkStart w:id="7" w:name="_Toc436317654"/>
      <w:bookmarkStart w:id="8" w:name="_Toc433918775"/>
      <w:bookmarkStart w:id="9" w:name="_Toc434067478"/>
      <w:bookmarkStart w:id="10" w:name="_Toc440231926"/>
      <w:r>
        <w:rPr>
          <w:rFonts w:hint="eastAsia" w:ascii="仿宋_GB2312" w:hAnsi="宋体" w:eastAsia="仿宋_GB2312"/>
          <w:b/>
          <w:color w:val="auto"/>
          <w:sz w:val="28"/>
          <w:highlight w:val="none"/>
        </w:rPr>
        <w:t>附录2：资格审查条件（业绩要求）</w:t>
      </w:r>
      <w:bookmarkEnd w:id="1"/>
      <w:bookmarkEnd w:id="2"/>
      <w:bookmarkEnd w:id="3"/>
      <w:bookmarkEnd w:id="4"/>
      <w:bookmarkEnd w:id="5"/>
      <w:bookmarkEnd w:id="6"/>
      <w:bookmarkEnd w:id="7"/>
      <w:bookmarkEnd w:id="8"/>
      <w:bookmarkEnd w:id="9"/>
      <w:bookmarkEnd w:id="10"/>
    </w:p>
    <w:p>
      <w:pPr>
        <w:spacing w:after="120"/>
        <w:ind w:firstLine="1049"/>
        <w:rPr>
          <w:rFonts w:ascii="仿宋_GB2312" w:eastAsia="仿宋_GB2312"/>
          <w:color w:val="auto"/>
          <w:spacing w:val="-4"/>
          <w:sz w:val="24"/>
          <w:highlight w:val="none"/>
        </w:rPr>
      </w:pPr>
    </w:p>
    <w:p>
      <w:pPr>
        <w:spacing w:after="120"/>
        <w:ind w:firstLine="232" w:firstLineChars="100"/>
        <w:rPr>
          <w:rFonts w:hint="eastAsia" w:ascii="仿宋_GB2312" w:eastAsia="仿宋_GB2312"/>
          <w:color w:val="auto"/>
          <w:sz w:val="24"/>
          <w:highlight w:val="none"/>
        </w:rPr>
      </w:pPr>
      <w:r>
        <w:rPr>
          <w:rFonts w:hint="eastAsia" w:ascii="仿宋_GB2312" w:eastAsia="仿宋_GB2312"/>
          <w:color w:val="auto"/>
          <w:spacing w:val="-4"/>
          <w:sz w:val="24"/>
          <w:highlight w:val="none"/>
        </w:rPr>
        <w:t>标段</w:t>
      </w:r>
      <w:r>
        <w:rPr>
          <w:rFonts w:hint="eastAsia" w:ascii="仿宋_GB2312" w:eastAsia="仿宋_GB2312"/>
          <w:color w:val="auto"/>
          <w:sz w:val="24"/>
          <w:highlight w:val="none"/>
        </w:rPr>
        <w:t>：</w:t>
      </w:r>
      <w:r>
        <w:rPr>
          <w:rFonts w:hint="eastAsia" w:ascii="仿宋_GB2312" w:hAnsi="Calibri" w:eastAsia="仿宋_GB2312" w:cs="仿宋_GB2312"/>
          <w:color w:val="auto"/>
          <w:sz w:val="24"/>
          <w:szCs w:val="22"/>
          <w:highlight w:val="none"/>
          <w:u w:val="single"/>
          <w:lang w:bidi="ar"/>
        </w:rPr>
        <w:t>第JL01标段</w:t>
      </w:r>
    </w:p>
    <w:tbl>
      <w:tblPr>
        <w:tblStyle w:val="5"/>
        <w:tblW w:w="826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65"/>
        <w:gridCol w:w="6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5" w:type="dxa"/>
            <w:noWrap w:val="0"/>
            <w:vAlign w:val="center"/>
          </w:tcPr>
          <w:p>
            <w:pPr>
              <w:spacing w:line="32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项 目</w:t>
            </w:r>
          </w:p>
        </w:tc>
        <w:tc>
          <w:tcPr>
            <w:tcW w:w="6498" w:type="dxa"/>
            <w:noWrap w:val="0"/>
            <w:vAlign w:val="center"/>
          </w:tcPr>
          <w:p>
            <w:pPr>
              <w:spacing w:line="32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4" w:hRule="atLeast"/>
          <w:jc w:val="center"/>
        </w:trPr>
        <w:tc>
          <w:tcPr>
            <w:tcW w:w="1765" w:type="dxa"/>
            <w:noWrap w:val="0"/>
            <w:vAlign w:val="center"/>
          </w:tcPr>
          <w:p>
            <w:pPr>
              <w:spacing w:line="32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业 绩</w:t>
            </w:r>
          </w:p>
        </w:tc>
        <w:tc>
          <w:tcPr>
            <w:tcW w:w="6498" w:type="dxa"/>
            <w:noWrap w:val="0"/>
            <w:vAlign w:val="center"/>
          </w:tcPr>
          <w:p>
            <w:pPr>
              <w:spacing w:line="360" w:lineRule="exact"/>
              <w:ind w:firstLine="420" w:firstLineChars="200"/>
              <w:rPr>
                <w:rFonts w:hint="eastAsia" w:ascii="仿宋_GB2312" w:hAnsi="仿宋" w:eastAsia="仿宋_GB2312" w:cs="仿宋_GB2312"/>
                <w:color w:val="auto"/>
                <w:szCs w:val="21"/>
                <w:highlight w:val="none"/>
              </w:rPr>
            </w:pPr>
            <w:r>
              <w:rPr>
                <w:rFonts w:hint="eastAsia" w:ascii="仿宋_GB2312" w:hAnsi="仿宋" w:eastAsia="仿宋_GB2312" w:cs="仿宋_GB2312"/>
                <w:bCs w:val="0"/>
                <w:color w:val="auto"/>
                <w:szCs w:val="21"/>
                <w:highlight w:val="none"/>
              </w:rPr>
              <w:t>自</w:t>
            </w:r>
            <w:r>
              <w:rPr>
                <w:rFonts w:hint="eastAsia" w:ascii="仿宋_GB2312" w:hAnsi="仿宋" w:eastAsia="仿宋_GB2312" w:cs="仿宋_GB2312"/>
                <w:bCs w:val="0"/>
                <w:color w:val="auto"/>
                <w:szCs w:val="21"/>
                <w:highlight w:val="none"/>
                <w:u w:val="single"/>
              </w:rPr>
              <w:t>2016年1月1日</w:t>
            </w:r>
            <w:r>
              <w:rPr>
                <w:rFonts w:hint="eastAsia" w:ascii="仿宋_GB2312" w:hAnsi="仿宋" w:eastAsia="仿宋_GB2312" w:cs="仿宋_GB2312"/>
                <w:bCs w:val="0"/>
                <w:color w:val="auto"/>
                <w:szCs w:val="21"/>
                <w:highlight w:val="none"/>
              </w:rPr>
              <w:t>（以实际交工日期为准）以来</w:t>
            </w:r>
            <w:r>
              <w:rPr>
                <w:rFonts w:hint="eastAsia" w:ascii="仿宋_GB2312" w:hAnsi="仿宋" w:eastAsia="仿宋_GB2312" w:cs="仿宋_GB2312"/>
                <w:bCs w:val="0"/>
                <w:color w:val="auto"/>
                <w:szCs w:val="21"/>
                <w:highlight w:val="none"/>
                <w:lang w:val="en-US" w:eastAsia="zh-CN"/>
              </w:rPr>
              <w:t>按一个监理合同段</w:t>
            </w:r>
            <w:r>
              <w:rPr>
                <w:rFonts w:hint="eastAsia" w:ascii="仿宋_GB2312" w:hAnsi="仿宋" w:eastAsia="仿宋_GB2312" w:cs="仿宋_GB2312"/>
                <w:color w:val="auto"/>
                <w:szCs w:val="21"/>
                <w:highlight w:val="none"/>
              </w:rPr>
              <w:t>完成</w:t>
            </w:r>
            <w:r>
              <w:rPr>
                <w:rFonts w:hint="eastAsia" w:ascii="仿宋_GB2312" w:hAnsi="仿宋" w:eastAsia="仿宋_GB2312" w:cs="仿宋_GB2312"/>
                <w:color w:val="auto"/>
                <w:szCs w:val="21"/>
                <w:highlight w:val="none"/>
                <w:lang w:val="en-US" w:eastAsia="zh-CN"/>
              </w:rPr>
              <w:t>过一个</w:t>
            </w:r>
            <w:r>
              <w:rPr>
                <w:rFonts w:hint="eastAsia" w:ascii="仿宋_GB2312" w:hAnsi="仿宋" w:eastAsia="仿宋_GB2312" w:cs="仿宋_GB2312"/>
                <w:color w:val="auto"/>
                <w:szCs w:val="21"/>
                <w:highlight w:val="none"/>
                <w:u w:val="single"/>
              </w:rPr>
              <w:t>新建（或改扩建）内河码头（泊位设计等级不低于500吨级）</w:t>
            </w:r>
            <w:r>
              <w:rPr>
                <w:rFonts w:hint="eastAsia" w:ascii="仿宋_GB2312" w:hAnsi="仿宋" w:eastAsia="仿宋_GB2312" w:cs="仿宋_GB2312"/>
                <w:color w:val="auto"/>
                <w:sz w:val="21"/>
                <w:szCs w:val="21"/>
                <w:highlight w:val="none"/>
                <w:u w:val="single"/>
                <w:lang w:val="en-US" w:eastAsia="zh-CN"/>
              </w:rPr>
              <w:t>或沿海码头（</w:t>
            </w:r>
            <w:r>
              <w:rPr>
                <w:rFonts w:hint="eastAsia" w:ascii="仿宋_GB2312" w:hAnsi="仿宋" w:eastAsia="仿宋_GB2312" w:cs="仿宋_GB2312"/>
                <w:color w:val="auto"/>
                <w:sz w:val="21"/>
                <w:szCs w:val="21"/>
                <w:highlight w:val="none"/>
                <w:u w:val="single"/>
              </w:rPr>
              <w:t>泊位设计等级不低于</w:t>
            </w:r>
            <w:r>
              <w:rPr>
                <w:rFonts w:hint="eastAsia" w:ascii="仿宋_GB2312" w:hAnsi="仿宋" w:eastAsia="仿宋_GB2312" w:cs="仿宋_GB2312"/>
                <w:color w:val="auto"/>
                <w:sz w:val="21"/>
                <w:szCs w:val="21"/>
                <w:highlight w:val="none"/>
                <w:u w:val="single"/>
                <w:lang w:val="en-US" w:eastAsia="zh-CN"/>
              </w:rPr>
              <w:t>10000吨级）</w:t>
            </w:r>
            <w:r>
              <w:rPr>
                <w:rFonts w:hint="eastAsia" w:ascii="仿宋_GB2312" w:hAnsi="仿宋" w:eastAsia="仿宋_GB2312" w:cs="仿宋_GB2312"/>
                <w:color w:val="auto"/>
                <w:sz w:val="21"/>
                <w:szCs w:val="21"/>
                <w:highlight w:val="none"/>
              </w:rPr>
              <w:t>工程施工监理项目。</w:t>
            </w:r>
          </w:p>
        </w:tc>
      </w:tr>
    </w:tbl>
    <w:p>
      <w:pPr>
        <w:spacing w:line="400" w:lineRule="exact"/>
        <w:ind w:firstLine="360" w:firstLineChars="200"/>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注：</w:t>
      </w:r>
    </w:p>
    <w:p>
      <w:pPr>
        <w:spacing w:line="360" w:lineRule="exact"/>
        <w:ind w:firstLine="360" w:firstLineChars="200"/>
        <w:jc w:val="left"/>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监理业绩证明文件需提供：（1）施工监理合同协议书；（2）发包人出具的交工验收证书或经项目主管质量监督部门确认的监理项目评定书。二者缺一不可，否则业绩不予认可。或提交浙江省交通运输提厅监理市场诚信信息系统显示的业绩。</w:t>
      </w:r>
    </w:p>
    <w:p>
      <w:pPr>
        <w:spacing w:line="360" w:lineRule="exact"/>
        <w:ind w:firstLine="360" w:firstLineChars="200"/>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2、上述资料中的监理人名称与投标人名称必须一致（监理人名称发生合法变更的，需提供合法变更的有效文件），否则业绩不予认可。</w:t>
      </w:r>
    </w:p>
    <w:p>
      <w:pPr>
        <w:spacing w:line="360" w:lineRule="exact"/>
        <w:ind w:firstLine="360" w:firstLineChars="200"/>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3、工程规模解释顺序为：监理项目评定书、交工验收证书和合同协议书；如上述资料中均未体现工程规模、工程内容的，投标人还应提供由项目发包人出具并经项目主管部门或项目主管质量监督部门确认的有关数据信息，否则业绩不予认可。</w:t>
      </w:r>
    </w:p>
    <w:p>
      <w:pPr>
        <w:spacing w:line="400" w:lineRule="exact"/>
        <w:outlineLvl w:val="2"/>
        <w:rPr>
          <w:rFonts w:ascii="仿宋_GB2312" w:eastAsia="仿宋_GB2312"/>
          <w:b/>
          <w:color w:val="auto"/>
          <w:sz w:val="28"/>
          <w:highlight w:val="none"/>
        </w:rPr>
      </w:pPr>
      <w:r>
        <w:rPr>
          <w:rFonts w:hint="eastAsia" w:ascii="仿宋_GB2312" w:hAnsi="宋体" w:eastAsia="仿宋_GB2312"/>
          <w:b/>
          <w:color w:val="auto"/>
          <w:highlight w:val="none"/>
        </w:rPr>
        <w:br w:type="page"/>
      </w:r>
      <w:bookmarkStart w:id="11" w:name="_Toc436317655"/>
      <w:bookmarkStart w:id="12" w:name="_Toc436320407"/>
      <w:bookmarkStart w:id="13" w:name="_Toc436317120"/>
      <w:bookmarkStart w:id="14" w:name="_Toc434067479"/>
      <w:bookmarkStart w:id="15" w:name="_Toc440231927"/>
      <w:bookmarkStart w:id="16" w:name="_Toc440230850"/>
      <w:bookmarkStart w:id="17" w:name="_Toc433918776"/>
      <w:bookmarkStart w:id="18" w:name="_Toc433917976"/>
      <w:bookmarkStart w:id="19" w:name="_Toc525625366"/>
      <w:bookmarkStart w:id="20" w:name="_Toc433919292"/>
      <w:r>
        <w:rPr>
          <w:rFonts w:hint="eastAsia" w:ascii="仿宋_GB2312" w:hAnsi="宋体" w:eastAsia="仿宋_GB2312"/>
          <w:b/>
          <w:color w:val="auto"/>
          <w:sz w:val="28"/>
          <w:highlight w:val="none"/>
        </w:rPr>
        <w:t>附录3：资格审查条件（主要监理人员资格要求）</w:t>
      </w:r>
      <w:bookmarkEnd w:id="11"/>
      <w:bookmarkEnd w:id="12"/>
      <w:bookmarkEnd w:id="13"/>
      <w:bookmarkEnd w:id="14"/>
      <w:bookmarkEnd w:id="15"/>
      <w:bookmarkEnd w:id="16"/>
      <w:bookmarkEnd w:id="17"/>
      <w:bookmarkEnd w:id="18"/>
      <w:bookmarkEnd w:id="19"/>
      <w:bookmarkEnd w:id="20"/>
    </w:p>
    <w:p>
      <w:pPr>
        <w:spacing w:after="120"/>
        <w:ind w:firstLine="360"/>
        <w:rPr>
          <w:rFonts w:ascii="仿宋_GB2312" w:eastAsia="仿宋_GB2312"/>
          <w:color w:val="auto"/>
          <w:sz w:val="24"/>
          <w:highlight w:val="none"/>
        </w:rPr>
      </w:pPr>
    </w:p>
    <w:p>
      <w:pPr>
        <w:spacing w:after="120"/>
        <w:ind w:firstLine="360"/>
        <w:rPr>
          <w:rFonts w:hint="eastAsia" w:ascii="仿宋_GB2312" w:eastAsia="仿宋_GB2312"/>
          <w:color w:val="auto"/>
          <w:kern w:val="0"/>
          <w:sz w:val="24"/>
          <w:highlight w:val="none"/>
        </w:rPr>
      </w:pPr>
      <w:r>
        <w:rPr>
          <w:rFonts w:hint="eastAsia" w:ascii="仿宋_GB2312" w:eastAsia="仿宋_GB2312"/>
          <w:color w:val="auto"/>
          <w:sz w:val="24"/>
          <w:highlight w:val="none"/>
        </w:rPr>
        <w:t>标段：</w:t>
      </w:r>
      <w:r>
        <w:rPr>
          <w:rFonts w:hint="eastAsia" w:ascii="仿宋_GB2312" w:hAnsi="Calibri" w:eastAsia="仿宋_GB2312" w:cs="仿宋_GB2312"/>
          <w:color w:val="auto"/>
          <w:sz w:val="24"/>
          <w:szCs w:val="22"/>
          <w:highlight w:val="none"/>
          <w:u w:val="single"/>
          <w:lang w:bidi="ar"/>
        </w:rPr>
        <w:t>第JL01标段</w:t>
      </w:r>
    </w:p>
    <w:tbl>
      <w:tblPr>
        <w:tblStyle w:val="5"/>
        <w:tblW w:w="4856" w:type="pct"/>
        <w:tblInd w:w="26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864"/>
        <w:gridCol w:w="981"/>
        <w:gridCol w:w="4703"/>
        <w:gridCol w:w="864"/>
        <w:gridCol w:w="86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477" w:type="pct"/>
            <w:noWrap w:val="0"/>
            <w:vAlign w:val="center"/>
          </w:tcPr>
          <w:p>
            <w:pPr>
              <w:spacing w:before="120" w:after="120"/>
              <w:jc w:val="center"/>
              <w:rPr>
                <w:rFonts w:ascii="仿宋_GB2312" w:eastAsia="仿宋_GB2312"/>
                <w:b/>
                <w:color w:val="auto"/>
                <w:highlight w:val="none"/>
              </w:rPr>
            </w:pPr>
            <w:r>
              <w:rPr>
                <w:rFonts w:hint="eastAsia" w:ascii="仿宋_GB2312" w:eastAsia="仿宋_GB2312"/>
                <w:b/>
                <w:color w:val="auto"/>
                <w:highlight w:val="none"/>
              </w:rPr>
              <w:t>序号</w:t>
            </w:r>
          </w:p>
        </w:tc>
        <w:tc>
          <w:tcPr>
            <w:tcW w:w="666" w:type="pct"/>
            <w:noWrap w:val="0"/>
            <w:vAlign w:val="center"/>
          </w:tcPr>
          <w:p>
            <w:pPr>
              <w:spacing w:before="120" w:after="120"/>
              <w:jc w:val="center"/>
              <w:rPr>
                <w:rFonts w:ascii="仿宋_GB2312" w:eastAsia="仿宋_GB2312"/>
                <w:b/>
                <w:color w:val="auto"/>
                <w:highlight w:val="none"/>
              </w:rPr>
            </w:pPr>
            <w:r>
              <w:rPr>
                <w:rFonts w:hint="eastAsia" w:ascii="仿宋_GB2312" w:eastAsia="仿宋_GB2312"/>
                <w:b/>
                <w:color w:val="auto"/>
                <w:highlight w:val="none"/>
              </w:rPr>
              <w:t>监理岗位</w:t>
            </w:r>
          </w:p>
        </w:tc>
        <w:tc>
          <w:tcPr>
            <w:tcW w:w="2913" w:type="pct"/>
            <w:noWrap w:val="0"/>
            <w:vAlign w:val="center"/>
          </w:tcPr>
          <w:p>
            <w:pPr>
              <w:spacing w:before="120" w:after="120"/>
              <w:jc w:val="center"/>
              <w:rPr>
                <w:rFonts w:ascii="仿宋_GB2312" w:eastAsia="仿宋_GB2312"/>
                <w:b/>
                <w:color w:val="auto"/>
                <w:highlight w:val="none"/>
              </w:rPr>
            </w:pPr>
            <w:r>
              <w:rPr>
                <w:rFonts w:hint="eastAsia" w:ascii="仿宋_GB2312" w:eastAsia="仿宋_GB2312"/>
                <w:b/>
                <w:color w:val="auto"/>
                <w:highlight w:val="none"/>
              </w:rPr>
              <w:t>资格要求</w:t>
            </w:r>
          </w:p>
        </w:tc>
        <w:tc>
          <w:tcPr>
            <w:tcW w:w="471" w:type="pct"/>
            <w:noWrap w:val="0"/>
            <w:vAlign w:val="center"/>
          </w:tcPr>
          <w:p>
            <w:pPr>
              <w:spacing w:before="120" w:after="120"/>
              <w:jc w:val="center"/>
              <w:rPr>
                <w:rFonts w:ascii="仿宋_GB2312" w:eastAsia="仿宋_GB2312"/>
                <w:b/>
                <w:color w:val="auto"/>
                <w:highlight w:val="none"/>
              </w:rPr>
            </w:pPr>
            <w:r>
              <w:rPr>
                <w:rFonts w:hint="eastAsia" w:ascii="仿宋_GB2312" w:eastAsia="仿宋_GB2312"/>
                <w:b/>
                <w:color w:val="auto"/>
                <w:highlight w:val="none"/>
              </w:rPr>
              <w:t>数量</w:t>
            </w:r>
          </w:p>
        </w:tc>
        <w:tc>
          <w:tcPr>
            <w:tcW w:w="470" w:type="pct"/>
            <w:noWrap w:val="0"/>
            <w:vAlign w:val="center"/>
          </w:tcPr>
          <w:p>
            <w:pPr>
              <w:spacing w:before="120" w:after="120"/>
              <w:jc w:val="center"/>
              <w:rPr>
                <w:rFonts w:ascii="仿宋_GB2312" w:eastAsia="仿宋_GB2312"/>
                <w:b/>
                <w:color w:val="auto"/>
                <w:highlight w:val="none"/>
              </w:rPr>
            </w:pPr>
            <w:r>
              <w:rPr>
                <w:rFonts w:hint="eastAsia" w:ascii="仿宋_GB2312" w:eastAsia="仿宋_GB2312"/>
                <w:b/>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94" w:hRule="atLeast"/>
        </w:trPr>
        <w:tc>
          <w:tcPr>
            <w:tcW w:w="477" w:type="pct"/>
            <w:noWrap w:val="0"/>
            <w:vAlign w:val="center"/>
          </w:tcPr>
          <w:p>
            <w:pPr>
              <w:spacing w:line="340" w:lineRule="exact"/>
              <w:jc w:val="center"/>
              <w:rPr>
                <w:rFonts w:ascii="仿宋_GB2312" w:eastAsia="仿宋_GB2312"/>
                <w:b/>
                <w:color w:val="auto"/>
                <w:sz w:val="18"/>
                <w:szCs w:val="18"/>
                <w:highlight w:val="none"/>
              </w:rPr>
            </w:pPr>
            <w:r>
              <w:rPr>
                <w:rFonts w:hint="eastAsia" w:ascii="仿宋_GB2312" w:eastAsia="仿宋_GB2312"/>
                <w:b/>
                <w:color w:val="auto"/>
                <w:sz w:val="18"/>
                <w:szCs w:val="18"/>
                <w:highlight w:val="none"/>
              </w:rPr>
              <w:t>1</w:t>
            </w:r>
          </w:p>
        </w:tc>
        <w:tc>
          <w:tcPr>
            <w:tcW w:w="666" w:type="pct"/>
            <w:noWrap w:val="0"/>
            <w:vAlign w:val="center"/>
          </w:tcPr>
          <w:p>
            <w:pPr>
              <w:spacing w:line="340" w:lineRule="exact"/>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总监理</w:t>
            </w:r>
          </w:p>
          <w:p>
            <w:pPr>
              <w:spacing w:line="340" w:lineRule="exact"/>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工程师</w:t>
            </w:r>
          </w:p>
        </w:tc>
        <w:tc>
          <w:tcPr>
            <w:tcW w:w="2913" w:type="pct"/>
            <w:noWrap w:val="0"/>
            <w:vAlign w:val="center"/>
          </w:tcPr>
          <w:p>
            <w:pPr>
              <w:spacing w:line="320" w:lineRule="exact"/>
              <w:ind w:firstLine="360" w:firstLineChars="200"/>
              <w:rPr>
                <w:rFonts w:ascii="仿宋_GB2312" w:eastAsia="仿宋_GB2312"/>
                <w:color w:val="auto"/>
                <w:sz w:val="18"/>
                <w:szCs w:val="18"/>
                <w:highlight w:val="none"/>
              </w:rPr>
            </w:pPr>
            <w:r>
              <w:rPr>
                <w:rFonts w:hint="eastAsia" w:ascii="仿宋_GB2312" w:hAnsi="仿宋" w:eastAsia="仿宋_GB2312" w:cs="仿宋_GB2312"/>
                <w:color w:val="auto"/>
                <w:sz w:val="18"/>
                <w:szCs w:val="18"/>
                <w:highlight w:val="none"/>
              </w:rPr>
              <w:t>具有交通运输部核发的水运工程监理工程师</w:t>
            </w:r>
            <w:r>
              <w:rPr>
                <w:rFonts w:hint="eastAsia" w:ascii="仿宋_GB2312" w:hAnsi="仿宋" w:eastAsia="仿宋_GB2312" w:cs="仿宋_GB2312"/>
                <w:color w:val="auto"/>
                <w:sz w:val="18"/>
                <w:szCs w:val="18"/>
                <w:highlight w:val="none"/>
                <w:lang w:eastAsia="zh-CN"/>
              </w:rPr>
              <w:t>（</w:t>
            </w:r>
            <w:r>
              <w:rPr>
                <w:rFonts w:hint="eastAsia" w:ascii="仿宋_GB2312" w:hAnsi="仿宋" w:eastAsia="仿宋_GB2312" w:cs="仿宋_GB2312"/>
                <w:color w:val="auto"/>
                <w:sz w:val="18"/>
                <w:szCs w:val="18"/>
                <w:highlight w:val="none"/>
                <w:lang w:val="en-US" w:eastAsia="zh-CN"/>
              </w:rPr>
              <w:t>港口工程专业</w:t>
            </w:r>
            <w:r>
              <w:rPr>
                <w:rFonts w:hint="eastAsia" w:ascii="仿宋_GB2312" w:hAnsi="仿宋" w:eastAsia="仿宋_GB2312" w:cs="仿宋_GB2312"/>
                <w:color w:val="auto"/>
                <w:sz w:val="18"/>
                <w:szCs w:val="18"/>
                <w:highlight w:val="none"/>
                <w:lang w:eastAsia="zh-CN"/>
              </w:rPr>
              <w:t>）</w:t>
            </w:r>
            <w:r>
              <w:rPr>
                <w:rFonts w:hint="eastAsia" w:ascii="仿宋_GB2312" w:hAnsi="仿宋" w:eastAsia="仿宋_GB2312" w:cs="仿宋_GB2312"/>
                <w:color w:val="auto"/>
                <w:sz w:val="18"/>
                <w:szCs w:val="18"/>
                <w:highlight w:val="none"/>
              </w:rPr>
              <w:t>或住房</w:t>
            </w:r>
            <w:r>
              <w:rPr>
                <w:rFonts w:hint="eastAsia" w:ascii="仿宋_GB2312" w:hAnsi="仿宋" w:eastAsia="仿宋_GB2312" w:cs="仿宋_GB2312"/>
                <w:color w:val="auto"/>
                <w:sz w:val="18"/>
                <w:szCs w:val="18"/>
                <w:highlight w:val="none"/>
                <w:lang w:val="en-US" w:eastAsia="zh-CN"/>
              </w:rPr>
              <w:t>和</w:t>
            </w:r>
            <w:r>
              <w:rPr>
                <w:rFonts w:hint="eastAsia" w:ascii="仿宋_GB2312" w:hAnsi="仿宋" w:eastAsia="仿宋_GB2312" w:cs="仿宋_GB2312"/>
                <w:color w:val="auto"/>
                <w:sz w:val="18"/>
                <w:szCs w:val="18"/>
                <w:highlight w:val="none"/>
              </w:rPr>
              <w:t>城乡建设部注册监理工程师（港口与航道工程</w:t>
            </w:r>
            <w:r>
              <w:rPr>
                <w:rFonts w:hint="eastAsia" w:ascii="仿宋_GB2312" w:hAnsi="仿宋" w:eastAsia="仿宋_GB2312" w:cs="仿宋_GB2312"/>
                <w:color w:val="auto"/>
                <w:sz w:val="18"/>
                <w:szCs w:val="18"/>
                <w:highlight w:val="none"/>
                <w:lang w:val="en-US" w:eastAsia="zh-CN"/>
              </w:rPr>
              <w:t>专业</w:t>
            </w:r>
            <w:r>
              <w:rPr>
                <w:rFonts w:hint="eastAsia" w:ascii="仿宋_GB2312" w:hAnsi="仿宋" w:eastAsia="仿宋_GB2312" w:cs="仿宋_GB2312"/>
                <w:color w:val="auto"/>
                <w:sz w:val="18"/>
                <w:szCs w:val="18"/>
                <w:highlight w:val="none"/>
              </w:rPr>
              <w:t>）资格，高级工程师及以上职称，担任</w:t>
            </w:r>
            <w:r>
              <w:rPr>
                <w:rFonts w:hint="eastAsia" w:ascii="仿宋_GB2312" w:hAnsi="仿宋" w:eastAsia="仿宋_GB2312" w:cs="仿宋_GB2312"/>
                <w:color w:val="auto"/>
                <w:sz w:val="18"/>
                <w:szCs w:val="18"/>
                <w:highlight w:val="none"/>
                <w:lang w:val="en-US" w:eastAsia="zh-CN"/>
              </w:rPr>
              <w:t>港口</w:t>
            </w:r>
            <w:r>
              <w:rPr>
                <w:rFonts w:hint="eastAsia" w:ascii="仿宋_GB2312" w:hAnsi="仿宋" w:eastAsia="仿宋_GB2312" w:cs="仿宋_GB2312"/>
                <w:color w:val="auto"/>
                <w:sz w:val="18"/>
                <w:szCs w:val="18"/>
                <w:highlight w:val="none"/>
              </w:rPr>
              <w:t>工程的总监或副总监（或一级监理机构驻地或副驻地）职务 1 周年及以上，年龄60周岁及以下。</w:t>
            </w:r>
          </w:p>
        </w:tc>
        <w:tc>
          <w:tcPr>
            <w:tcW w:w="471" w:type="pct"/>
            <w:noWrap w:val="0"/>
            <w:vAlign w:val="center"/>
          </w:tcPr>
          <w:p>
            <w:pPr>
              <w:jc w:val="center"/>
              <w:rPr>
                <w:rFonts w:ascii="仿宋_GB2312" w:eastAsia="仿宋_GB2312"/>
                <w:color w:val="auto"/>
                <w:highlight w:val="none"/>
              </w:rPr>
            </w:pPr>
            <w:r>
              <w:rPr>
                <w:rFonts w:hint="eastAsia" w:ascii="仿宋_GB2312" w:eastAsia="仿宋_GB2312"/>
                <w:color w:val="auto"/>
                <w:highlight w:val="none"/>
              </w:rPr>
              <w:t>1</w:t>
            </w:r>
          </w:p>
        </w:tc>
        <w:tc>
          <w:tcPr>
            <w:tcW w:w="470" w:type="pct"/>
            <w:noWrap w:val="0"/>
            <w:vAlign w:val="center"/>
          </w:tcPr>
          <w:p>
            <w:pPr>
              <w:jc w:val="center"/>
              <w:rPr>
                <w:rFonts w:ascii="仿宋_GB2312" w:eastAsia="仿宋_GB2312"/>
                <w:color w:val="auto"/>
                <w:sz w:val="18"/>
                <w:szCs w:val="18"/>
                <w:highlight w:val="none"/>
              </w:rPr>
            </w:pPr>
            <w:r>
              <w:rPr>
                <w:rFonts w:hint="eastAsia" w:ascii="仿宋_GB2312" w:hAnsi="宋体" w:eastAsia="仿宋_GB2312"/>
                <w:color w:val="auto"/>
                <w:sz w:val="18"/>
                <w:szCs w:val="18"/>
                <w:highlight w:val="none"/>
              </w:rPr>
              <w:t>自有人员</w:t>
            </w:r>
          </w:p>
        </w:tc>
      </w:tr>
    </w:tbl>
    <w:p>
      <w:pPr>
        <w:spacing w:line="320" w:lineRule="exact"/>
        <w:rPr>
          <w:rFonts w:ascii="仿宋_GB2312" w:eastAsia="仿宋_GB2312"/>
          <w:b/>
          <w:color w:val="auto"/>
          <w:sz w:val="18"/>
          <w:szCs w:val="18"/>
          <w:highlight w:val="none"/>
        </w:rPr>
      </w:pPr>
      <w:r>
        <w:rPr>
          <w:rFonts w:hint="eastAsia" w:ascii="仿宋_GB2312" w:eastAsia="仿宋_GB2312"/>
          <w:b/>
          <w:color w:val="auto"/>
          <w:sz w:val="18"/>
          <w:szCs w:val="18"/>
          <w:highlight w:val="none"/>
        </w:rPr>
        <w:t>注：</w:t>
      </w:r>
      <w:r>
        <w:rPr>
          <w:rFonts w:hint="eastAsia" w:ascii="仿宋_GB2312" w:eastAsia="仿宋_GB2312"/>
          <w:color w:val="auto"/>
          <w:sz w:val="18"/>
          <w:szCs w:val="18"/>
          <w:highlight w:val="none"/>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20" w:lineRule="exact"/>
        <w:ind w:firstLine="360" w:firstLineChars="200"/>
        <w:rPr>
          <w:rFonts w:ascii="仿宋_GB2312" w:eastAsia="仿宋_GB2312"/>
          <w:color w:val="auto"/>
          <w:sz w:val="18"/>
          <w:szCs w:val="18"/>
          <w:highlight w:val="none"/>
        </w:rPr>
      </w:pPr>
      <w:r>
        <w:rPr>
          <w:rFonts w:hint="eastAsia" w:ascii="仿宋_GB2312" w:eastAsia="仿宋_GB2312"/>
          <w:color w:val="auto"/>
          <w:sz w:val="18"/>
          <w:szCs w:val="18"/>
          <w:highlight w:val="none"/>
        </w:rPr>
        <w:t>2、</w:t>
      </w:r>
      <w:r>
        <w:rPr>
          <w:rFonts w:hint="eastAsia" w:ascii="仿宋_GB2312" w:hAnsi="仿宋" w:eastAsia="仿宋_GB2312"/>
          <w:color w:val="auto"/>
          <w:sz w:val="18"/>
          <w:szCs w:val="18"/>
          <w:highlight w:val="none"/>
        </w:rPr>
        <w:t>主要监理人员的监理经历按规定在浙江省交通运输厅监理市场诚信信息系统上公开，</w:t>
      </w:r>
      <w:r>
        <w:rPr>
          <w:rFonts w:hint="eastAsia" w:ascii="仿宋_GB2312" w:eastAsia="仿宋_GB2312"/>
          <w:color w:val="auto"/>
          <w:sz w:val="18"/>
          <w:szCs w:val="18"/>
          <w:highlight w:val="none"/>
        </w:rPr>
        <w:t>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或执业管理手册或项目</w:t>
      </w:r>
      <w:r>
        <w:rPr>
          <w:rFonts w:hint="eastAsia" w:ascii="仿宋_GB2312" w:eastAsia="仿宋_GB2312"/>
          <w:bCs/>
          <w:color w:val="auto"/>
          <w:sz w:val="18"/>
          <w:szCs w:val="18"/>
          <w:highlight w:val="none"/>
        </w:rPr>
        <w:t>发包人</w:t>
      </w:r>
      <w:r>
        <w:rPr>
          <w:rFonts w:hint="eastAsia" w:ascii="仿宋_GB2312" w:eastAsia="仿宋_GB2312"/>
          <w:color w:val="auto"/>
          <w:sz w:val="18"/>
          <w:szCs w:val="18"/>
          <w:highlight w:val="none"/>
        </w:rPr>
        <w:t>出具的并经项目交通主管部门或项目交通质量监督部门确认的书面材料），未提供监理经历证明文件的，其监理经历不予认可。</w:t>
      </w:r>
    </w:p>
    <w:p>
      <w:pPr>
        <w:spacing w:line="320" w:lineRule="exact"/>
        <w:ind w:firstLine="360" w:firstLineChars="200"/>
        <w:rPr>
          <w:rFonts w:ascii="仿宋_GB2312" w:eastAsia="仿宋_GB2312"/>
          <w:color w:val="auto"/>
          <w:sz w:val="18"/>
          <w:szCs w:val="18"/>
          <w:highlight w:val="none"/>
        </w:rPr>
      </w:pPr>
      <w:r>
        <w:rPr>
          <w:rFonts w:hint="eastAsia" w:ascii="仿宋_GB2312" w:eastAsia="仿宋_GB2312"/>
          <w:color w:val="auto"/>
          <w:sz w:val="18"/>
          <w:szCs w:val="18"/>
          <w:highlight w:val="none"/>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20" w:lineRule="exact"/>
        <w:ind w:firstLine="360" w:firstLineChars="200"/>
        <w:rPr>
          <w:rFonts w:ascii="仿宋_GB2312" w:eastAsia="仿宋_GB2312"/>
          <w:color w:val="auto"/>
          <w:sz w:val="18"/>
          <w:szCs w:val="18"/>
          <w:highlight w:val="none"/>
        </w:rPr>
      </w:pPr>
      <w:r>
        <w:rPr>
          <w:rFonts w:hint="eastAsia" w:ascii="仿宋_GB2312" w:eastAsia="仿宋_GB2312"/>
          <w:color w:val="auto"/>
          <w:sz w:val="18"/>
          <w:szCs w:val="18"/>
          <w:highlight w:val="none"/>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20" w:lineRule="exact"/>
        <w:ind w:firstLine="360" w:firstLineChars="200"/>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5、主要监理人员均须持有省级及以上交通监理行业协会核发的《交通建设工程安全监理合格证书》、《水运工程环境保护监理合格证书》，2012年1月1日以后获得交通运输部监理资格证书的监理工程师和住房</w:t>
      </w:r>
      <w:r>
        <w:rPr>
          <w:rFonts w:hint="eastAsia" w:ascii="仿宋_GB2312" w:eastAsia="仿宋_GB2312"/>
          <w:color w:val="auto"/>
          <w:sz w:val="18"/>
          <w:szCs w:val="18"/>
          <w:highlight w:val="none"/>
          <w:lang w:val="en-US" w:eastAsia="zh-CN"/>
        </w:rPr>
        <w:t>和</w:t>
      </w:r>
      <w:r>
        <w:rPr>
          <w:rFonts w:hint="eastAsia" w:ascii="仿宋_GB2312" w:eastAsia="仿宋_GB2312"/>
          <w:color w:val="auto"/>
          <w:sz w:val="18"/>
          <w:szCs w:val="18"/>
          <w:highlight w:val="none"/>
        </w:rPr>
        <w:t>城乡建设部注册监理工程师（港口与航道工程）无须提供《交通建设工程安全监理合格证书》、《水运工程环境保护监理合格证书》的彩色打印件（或清晰可辨的复印件）。</w:t>
      </w:r>
    </w:p>
    <w:p>
      <w:pPr>
        <w:spacing w:line="320" w:lineRule="exact"/>
        <w:ind w:firstLine="360" w:firstLineChars="200"/>
        <w:rPr>
          <w:rFonts w:ascii="仿宋_GB2312" w:eastAsia="仿宋_GB2312"/>
          <w:color w:val="auto"/>
          <w:sz w:val="18"/>
          <w:szCs w:val="18"/>
          <w:highlight w:val="none"/>
        </w:rPr>
      </w:pPr>
      <w:r>
        <w:rPr>
          <w:rFonts w:hint="eastAsia" w:ascii="仿宋_GB2312" w:eastAsia="仿宋_GB2312"/>
          <w:color w:val="auto"/>
          <w:sz w:val="18"/>
          <w:szCs w:val="18"/>
          <w:highlight w:val="none"/>
        </w:rPr>
        <w:t>6、主要监理人员</w:t>
      </w:r>
      <w:r>
        <w:rPr>
          <w:rFonts w:hint="eastAsia" w:ascii="仿宋_GB2312" w:hAnsi="宋体" w:eastAsia="仿宋_GB2312"/>
          <w:color w:val="auto"/>
          <w:sz w:val="18"/>
          <w:szCs w:val="18"/>
          <w:highlight w:val="none"/>
        </w:rPr>
        <w:t>根据交通运输部最新信用评价结果，监理工程师个人评价周期内累计扣分在24分（不含）以下。</w:t>
      </w:r>
    </w:p>
    <w:p>
      <w:pPr>
        <w:spacing w:line="320" w:lineRule="exact"/>
        <w:ind w:firstLine="360" w:firstLineChars="200"/>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7、投标人可</w:t>
      </w:r>
      <w:r>
        <w:rPr>
          <w:rFonts w:hint="eastAsia" w:ascii="仿宋_GB2312" w:eastAsia="仿宋_GB2312"/>
          <w:color w:val="auto"/>
          <w:sz w:val="18"/>
          <w:szCs w:val="18"/>
          <w:highlight w:val="none"/>
          <w:lang w:val="en-US" w:eastAsia="zh-CN"/>
        </w:rPr>
        <w:t>登录</w:t>
      </w:r>
      <w:bookmarkStart w:id="31" w:name="_GoBack"/>
      <w:bookmarkEnd w:id="31"/>
      <w:r>
        <w:rPr>
          <w:rFonts w:hint="eastAsia" w:ascii="仿宋_GB2312" w:eastAsia="仿宋_GB2312"/>
          <w:color w:val="auto"/>
          <w:sz w:val="18"/>
          <w:szCs w:val="18"/>
          <w:highlight w:val="none"/>
        </w:rPr>
        <w:t>浙江省交通运输厅监理市场诚信信息系统进行监理企业用户注册，并按浙江省交通运输厅要求报送有关信息。登录网址为：</w:t>
      </w:r>
      <w:r>
        <w:rPr>
          <w:color w:val="auto"/>
          <w:highlight w:val="none"/>
        </w:rPr>
        <w:fldChar w:fldCharType="begin"/>
      </w:r>
      <w:r>
        <w:rPr>
          <w:color w:val="auto"/>
          <w:highlight w:val="none"/>
        </w:rPr>
        <w:instrText xml:space="preserve"> HYPERLINK "http://jlsccx.zjt.gov.cn/" </w:instrText>
      </w:r>
      <w:r>
        <w:rPr>
          <w:color w:val="auto"/>
          <w:highlight w:val="none"/>
        </w:rPr>
        <w:fldChar w:fldCharType="separate"/>
      </w:r>
      <w:r>
        <w:rPr>
          <w:rStyle w:val="7"/>
          <w:rFonts w:hint="eastAsia" w:ascii="仿宋_GB2312" w:eastAsia="仿宋_GB2312"/>
          <w:color w:val="auto"/>
          <w:szCs w:val="18"/>
          <w:highlight w:val="none"/>
        </w:rPr>
        <w:t>http：//jlsccx.zjt.gov.cn/</w:t>
      </w:r>
      <w:r>
        <w:rPr>
          <w:rFonts w:ascii="仿宋_GB2312" w:eastAsia="仿宋_GB2312"/>
          <w:color w:val="auto"/>
          <w:szCs w:val="18"/>
          <w:highlight w:val="none"/>
        </w:rPr>
        <w:fldChar w:fldCharType="end"/>
      </w:r>
      <w:r>
        <w:rPr>
          <w:rFonts w:hint="eastAsia" w:ascii="仿宋_GB2312" w:eastAsia="仿宋_GB2312"/>
          <w:color w:val="auto"/>
          <w:sz w:val="18"/>
          <w:szCs w:val="18"/>
          <w:highlight w:val="none"/>
        </w:rPr>
        <w:t>，联系电话：0571-83789631。</w:t>
      </w:r>
    </w:p>
    <w:p>
      <w:pPr>
        <w:spacing w:after="120"/>
        <w:outlineLvl w:val="2"/>
        <w:rPr>
          <w:rFonts w:ascii="仿宋_GB2312" w:eastAsia="仿宋_GB2312"/>
          <w:b/>
          <w:color w:val="auto"/>
          <w:kern w:val="0"/>
          <w:sz w:val="24"/>
          <w:highlight w:val="none"/>
        </w:rPr>
      </w:pPr>
      <w:r>
        <w:rPr>
          <w:rFonts w:ascii="仿宋_GB2312" w:eastAsia="仿宋_GB2312"/>
          <w:color w:val="auto"/>
          <w:sz w:val="18"/>
          <w:szCs w:val="18"/>
          <w:highlight w:val="none"/>
        </w:rPr>
        <w:br w:type="page"/>
      </w:r>
      <w:bookmarkStart w:id="21" w:name="_Toc440230851"/>
      <w:bookmarkStart w:id="22" w:name="_Toc433918777"/>
      <w:bookmarkStart w:id="23" w:name="_Toc440231928"/>
      <w:bookmarkStart w:id="24" w:name="_Toc436317121"/>
      <w:bookmarkStart w:id="25" w:name="_Toc436320408"/>
      <w:bookmarkStart w:id="26" w:name="_Toc433917977"/>
      <w:bookmarkStart w:id="27" w:name="_Toc434067480"/>
      <w:bookmarkStart w:id="28" w:name="_Toc436317656"/>
      <w:bookmarkStart w:id="29" w:name="_Toc525625367"/>
      <w:bookmarkStart w:id="30" w:name="_Toc433919293"/>
      <w:r>
        <w:rPr>
          <w:rFonts w:hint="eastAsia" w:ascii="仿宋_GB2312" w:hAnsi="宋体" w:eastAsia="仿宋_GB2312"/>
          <w:b/>
          <w:color w:val="auto"/>
          <w:sz w:val="28"/>
          <w:highlight w:val="none"/>
        </w:rPr>
        <w:t>附录4：履约要求（最低要求）</w:t>
      </w:r>
      <w:bookmarkEnd w:id="21"/>
      <w:bookmarkEnd w:id="22"/>
      <w:bookmarkEnd w:id="23"/>
      <w:bookmarkEnd w:id="24"/>
      <w:bookmarkEnd w:id="25"/>
      <w:bookmarkEnd w:id="26"/>
      <w:bookmarkEnd w:id="27"/>
      <w:bookmarkEnd w:id="28"/>
      <w:bookmarkEnd w:id="29"/>
      <w:bookmarkEnd w:id="30"/>
    </w:p>
    <w:p>
      <w:pPr>
        <w:spacing w:after="120"/>
        <w:ind w:firstLine="840"/>
        <w:rPr>
          <w:rFonts w:ascii="仿宋_GB2312" w:eastAsia="仿宋_GB2312"/>
          <w:color w:val="auto"/>
          <w:sz w:val="24"/>
          <w:highlight w:val="none"/>
        </w:rPr>
      </w:pPr>
    </w:p>
    <w:p>
      <w:pPr>
        <w:spacing w:after="120"/>
        <w:rPr>
          <w:rFonts w:hint="eastAsia" w:ascii="仿宋_GB2312" w:eastAsia="仿宋_GB2312"/>
          <w:color w:val="auto"/>
          <w:kern w:val="0"/>
          <w:sz w:val="24"/>
          <w:highlight w:val="none"/>
        </w:rPr>
      </w:pPr>
      <w:r>
        <w:rPr>
          <w:rFonts w:hint="eastAsia" w:ascii="仿宋_GB2312" w:eastAsia="仿宋_GB2312"/>
          <w:color w:val="auto"/>
          <w:sz w:val="24"/>
          <w:highlight w:val="none"/>
        </w:rPr>
        <w:t>标段：</w:t>
      </w:r>
      <w:r>
        <w:rPr>
          <w:rFonts w:hint="eastAsia" w:ascii="仿宋_GB2312" w:hAnsi="Calibri" w:eastAsia="仿宋_GB2312" w:cs="仿宋_GB2312"/>
          <w:color w:val="auto"/>
          <w:sz w:val="24"/>
          <w:szCs w:val="22"/>
          <w:highlight w:val="none"/>
          <w:u w:val="single"/>
          <w:lang w:bidi="ar"/>
        </w:rPr>
        <w:t>第JL01标段</w:t>
      </w:r>
    </w:p>
    <w:tbl>
      <w:tblPr>
        <w:tblStyle w:val="5"/>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634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98" w:type="dxa"/>
            <w:tcBorders>
              <w:top w:val="single" w:color="auto" w:sz="12" w:space="0"/>
              <w:left w:val="single" w:color="auto" w:sz="12" w:space="0"/>
            </w:tcBorders>
            <w:noWrap w:val="0"/>
            <w:vAlign w:val="center"/>
          </w:tcPr>
          <w:p>
            <w:pPr>
              <w:spacing w:line="32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项 目</w:t>
            </w:r>
          </w:p>
        </w:tc>
        <w:tc>
          <w:tcPr>
            <w:tcW w:w="6346" w:type="dxa"/>
            <w:tcBorders>
              <w:top w:val="single" w:color="auto" w:sz="12" w:space="0"/>
            </w:tcBorders>
            <w:noWrap w:val="0"/>
            <w:vAlign w:val="center"/>
          </w:tcPr>
          <w:p>
            <w:pPr>
              <w:spacing w:line="32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要     求</w:t>
            </w:r>
          </w:p>
        </w:tc>
        <w:tc>
          <w:tcPr>
            <w:tcW w:w="1390" w:type="dxa"/>
            <w:tcBorders>
              <w:top w:val="single" w:color="auto" w:sz="12" w:space="0"/>
              <w:right w:val="single" w:color="auto" w:sz="12" w:space="0"/>
            </w:tcBorders>
            <w:noWrap w:val="0"/>
            <w:vAlign w:val="center"/>
          </w:tcPr>
          <w:p>
            <w:pPr>
              <w:spacing w:line="32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4" w:hRule="atLeast"/>
          <w:jc w:val="center"/>
        </w:trPr>
        <w:tc>
          <w:tcPr>
            <w:tcW w:w="1398" w:type="dxa"/>
            <w:tcBorders>
              <w:left w:val="single" w:color="auto" w:sz="12" w:space="0"/>
              <w:bottom w:val="single" w:color="auto" w:sz="12" w:space="0"/>
            </w:tcBorders>
            <w:noWrap w:val="0"/>
            <w:vAlign w:val="center"/>
          </w:tcPr>
          <w:p>
            <w:pPr>
              <w:spacing w:line="32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履约要求</w:t>
            </w:r>
          </w:p>
        </w:tc>
        <w:tc>
          <w:tcPr>
            <w:tcW w:w="6346" w:type="dxa"/>
            <w:tcBorders>
              <w:bottom w:val="single" w:color="auto" w:sz="12" w:space="0"/>
            </w:tcBorders>
            <w:noWrap w:val="0"/>
            <w:vAlign w:val="center"/>
          </w:tcPr>
          <w:p>
            <w:pPr>
              <w:spacing w:line="360" w:lineRule="auto"/>
              <w:ind w:firstLine="210" w:firstLineChars="100"/>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1．投标人不存在投标人须知第1.4.3项的情形；</w:t>
            </w:r>
          </w:p>
          <w:p>
            <w:pPr>
              <w:spacing w:line="360" w:lineRule="auto"/>
              <w:ind w:firstLine="210" w:firstLineChars="100"/>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2. 近</w:t>
            </w:r>
            <w:r>
              <w:rPr>
                <w:rFonts w:hint="eastAsia" w:ascii="仿宋_GB2312" w:hAnsi="宋体" w:eastAsia="仿宋_GB2312"/>
                <w:color w:val="auto"/>
                <w:szCs w:val="21"/>
                <w:highlight w:val="none"/>
                <w:u w:val="single"/>
              </w:rPr>
              <w:t>三</w:t>
            </w:r>
            <w:r>
              <w:rPr>
                <w:rFonts w:hint="eastAsia" w:ascii="仿宋_GB2312" w:hAnsi="宋体" w:eastAsia="仿宋_GB2312"/>
                <w:color w:val="auto"/>
                <w:szCs w:val="21"/>
                <w:highlight w:val="none"/>
              </w:rPr>
              <w:t>年（</w:t>
            </w:r>
            <w:r>
              <w:rPr>
                <w:rFonts w:hint="eastAsia" w:ascii="仿宋_GB2312" w:eastAsia="仿宋_GB2312"/>
                <w:bCs/>
                <w:color w:val="auto"/>
                <w:szCs w:val="21"/>
                <w:highlight w:val="none"/>
              </w:rPr>
              <w:t>自</w:t>
            </w:r>
            <w:r>
              <w:rPr>
                <w:rFonts w:ascii="仿宋_GB2312" w:eastAsia="仿宋_GB2312"/>
                <w:bCs/>
                <w:color w:val="auto"/>
                <w:szCs w:val="21"/>
                <w:highlight w:val="none"/>
                <w:u w:val="single"/>
              </w:rPr>
              <w:t>201</w:t>
            </w:r>
            <w:r>
              <w:rPr>
                <w:rFonts w:hint="eastAsia" w:ascii="仿宋_GB2312" w:eastAsia="仿宋_GB2312"/>
                <w:bCs/>
                <w:color w:val="auto"/>
                <w:szCs w:val="21"/>
                <w:highlight w:val="none"/>
                <w:u w:val="single"/>
              </w:rPr>
              <w:t xml:space="preserve">8 </w:t>
            </w:r>
            <w:r>
              <w:rPr>
                <w:rFonts w:hint="eastAsia" w:ascii="仿宋_GB2312" w:eastAsia="仿宋_GB2312"/>
                <w:bCs/>
                <w:color w:val="auto"/>
                <w:szCs w:val="21"/>
                <w:highlight w:val="none"/>
              </w:rPr>
              <w:t>年</w:t>
            </w:r>
            <w:r>
              <w:rPr>
                <w:rFonts w:hint="eastAsia" w:ascii="仿宋_GB2312" w:eastAsia="仿宋_GB2312"/>
                <w:bCs/>
                <w:color w:val="auto"/>
                <w:szCs w:val="21"/>
                <w:highlight w:val="none"/>
                <w:u w:val="single"/>
              </w:rPr>
              <w:t>1</w:t>
            </w:r>
            <w:r>
              <w:rPr>
                <w:rFonts w:hint="eastAsia" w:ascii="仿宋_GB2312" w:eastAsia="仿宋_GB2312"/>
                <w:bCs/>
                <w:color w:val="auto"/>
                <w:szCs w:val="21"/>
                <w:highlight w:val="none"/>
              </w:rPr>
              <w:t>月</w:t>
            </w:r>
            <w:r>
              <w:rPr>
                <w:rFonts w:ascii="仿宋_GB2312" w:eastAsia="仿宋_GB2312"/>
                <w:bCs/>
                <w:color w:val="auto"/>
                <w:szCs w:val="21"/>
                <w:highlight w:val="none"/>
                <w:u w:val="single"/>
              </w:rPr>
              <w:t>1</w:t>
            </w:r>
            <w:r>
              <w:rPr>
                <w:rFonts w:hint="eastAsia" w:ascii="仿宋_GB2312" w:eastAsia="仿宋_GB2312"/>
                <w:bCs/>
                <w:color w:val="auto"/>
                <w:szCs w:val="21"/>
                <w:highlight w:val="none"/>
              </w:rPr>
              <w:t>日以来）</w:t>
            </w:r>
            <w:r>
              <w:rPr>
                <w:rFonts w:hint="eastAsia" w:ascii="仿宋_GB2312" w:hAnsi="宋体" w:eastAsia="仿宋_GB2312"/>
                <w:color w:val="auto"/>
                <w:szCs w:val="21"/>
                <w:highlight w:val="none"/>
              </w:rPr>
              <w:t>，投标人及其拟委任的总监理工程师无行贿犯罪行为</w:t>
            </w:r>
            <w:r>
              <w:rPr>
                <w:rFonts w:hint="eastAsia" w:ascii="仿宋_GB2312" w:hAnsi="仿宋" w:eastAsia="仿宋_GB2312"/>
                <w:color w:val="auto"/>
                <w:szCs w:val="21"/>
                <w:highlight w:val="none"/>
              </w:rPr>
              <w:t>（</w:t>
            </w:r>
            <w:r>
              <w:rPr>
                <w:rFonts w:hint="eastAsia" w:ascii="仿宋_GB2312" w:hAnsi="仿宋" w:eastAsia="仿宋_GB2312"/>
                <w:color w:val="auto"/>
                <w:highlight w:val="none"/>
              </w:rPr>
              <w:t>以中国裁判文书网页面显示内容为准，时间以法院判</w:t>
            </w:r>
            <w:r>
              <w:rPr>
                <w:rFonts w:hint="eastAsia" w:ascii="仿宋_GB2312" w:hAnsi="仿宋" w:eastAsia="仿宋_GB2312"/>
                <w:color w:val="auto"/>
                <w:szCs w:val="21"/>
                <w:highlight w:val="none"/>
              </w:rPr>
              <w:t>决书判决的日期</w:t>
            </w:r>
            <w:r>
              <w:rPr>
                <w:rFonts w:hint="eastAsia" w:ascii="仿宋_GB2312" w:hAnsi="仿宋" w:eastAsia="仿宋_GB2312"/>
                <w:color w:val="auto"/>
                <w:highlight w:val="none"/>
              </w:rPr>
              <w:t>为准</w:t>
            </w:r>
            <w:r>
              <w:rPr>
                <w:rFonts w:hint="eastAsia" w:ascii="仿宋_GB2312" w:hAnsi="仿宋" w:eastAsia="仿宋_GB2312"/>
                <w:color w:val="auto"/>
                <w:szCs w:val="21"/>
                <w:highlight w:val="none"/>
              </w:rPr>
              <w:t>）</w:t>
            </w:r>
            <w:r>
              <w:rPr>
                <w:rFonts w:hint="eastAsia" w:ascii="仿宋_GB2312" w:hAnsi="宋体" w:eastAsia="仿宋_GB2312"/>
                <w:color w:val="auto"/>
                <w:szCs w:val="21"/>
                <w:highlight w:val="none"/>
              </w:rPr>
              <w:t>。</w:t>
            </w:r>
          </w:p>
        </w:tc>
        <w:tc>
          <w:tcPr>
            <w:tcW w:w="1390" w:type="dxa"/>
            <w:tcBorders>
              <w:bottom w:val="single" w:color="auto" w:sz="12" w:space="0"/>
              <w:right w:val="single" w:color="auto" w:sz="12" w:space="0"/>
            </w:tcBorders>
            <w:noWrap w:val="0"/>
            <w:vAlign w:val="center"/>
          </w:tcPr>
          <w:p>
            <w:pPr>
              <w:spacing w:line="460" w:lineRule="exact"/>
              <w:jc w:val="center"/>
              <w:rPr>
                <w:rFonts w:ascii="仿宋_GB2312" w:eastAsia="仿宋_GB2312"/>
                <w:color w:val="auto"/>
                <w:szCs w:val="21"/>
                <w:highlight w:val="none"/>
              </w:rPr>
            </w:pPr>
          </w:p>
        </w:tc>
      </w:tr>
    </w:tbl>
    <w:p>
      <w:pPr>
        <w:spacing w:before="156" w:beforeLines="50" w:line="360" w:lineRule="auto"/>
        <w:ind w:right="113"/>
        <w:jc w:val="left"/>
      </w:pPr>
      <w:r>
        <w:rPr>
          <w:rFonts w:hint="eastAsia" w:ascii="仿宋_GB2312" w:hAnsi="仿宋" w:eastAsia="仿宋_GB2312"/>
          <w:color w:val="auto"/>
          <w:sz w:val="18"/>
          <w:szCs w:val="18"/>
          <w:highlight w:val="none"/>
        </w:rPr>
        <w:t>注：投标人及其拟委任的总监理工程师有无行贿犯罪行为由投标人自行书面如实填报，隐瞒不报的，一经查实作否决投标处理，并视作投标人提供虚假资料，按投标人须知3.5.8项处理。</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0775C"/>
    <w:rsid w:val="24041DEF"/>
    <w:rsid w:val="2DF82905"/>
    <w:rsid w:val="692F3B4C"/>
    <w:rsid w:val="78507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80" w:lineRule="exact"/>
      <w:ind w:firstLine="437"/>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qFormat/>
    <w:uiPriority w:val="0"/>
    <w:rPr>
      <w:rFonts w:ascii="Calibri" w:hAnsi="Calibri" w:eastAsia="微软雅黑" w:cs="Times New Roman"/>
      <w:kern w:val="2"/>
      <w:sz w:val="28"/>
      <w:szCs w:val="22"/>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Body Text First Indent 2"/>
    <w:basedOn w:val="3"/>
    <w:qFormat/>
    <w:uiPriority w:val="0"/>
    <w:pPr>
      <w:ind w:left="200" w:firstLine="200" w:firstLineChars="200"/>
    </w:pPr>
  </w:style>
  <w:style w:type="character" w:styleId="7">
    <w:name w:val="Hyperlink"/>
    <w:qFormat/>
    <w:uiPriority w:val="99"/>
    <w:rPr>
      <w:rFonts w:hint="default" w:ascii="Arial" w:hAnsi="Arial"/>
      <w:color w:val="060147"/>
      <w:sz w:val="18"/>
      <w:u w:val="none"/>
    </w:rPr>
  </w:style>
  <w:style w:type="paragraph" w:customStyle="1" w:styleId="8">
    <w:name w:val="正文_0"/>
    <w:basedOn w:val="9"/>
    <w:qFormat/>
    <w:uiPriority w:val="0"/>
    <w:pPr>
      <w:widowControl w:val="0"/>
      <w:spacing w:line="380" w:lineRule="exact"/>
      <w:ind w:firstLine="437"/>
      <w:jc w:val="both"/>
    </w:pPr>
    <w:rPr>
      <w:kern w:val="2"/>
      <w:sz w:val="21"/>
      <w:szCs w:val="22"/>
      <w:lang w:val="en-US" w:eastAsia="zh-CN" w:bidi="ar-SA"/>
    </w:rPr>
  </w:style>
  <w:style w:type="paragraph" w:customStyle="1" w:styleId="9">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标题 3_0"/>
    <w:basedOn w:val="8"/>
    <w:next w:val="8"/>
    <w:unhideWhenUsed/>
    <w:qFormat/>
    <w:uiPriority w:val="0"/>
    <w:pPr>
      <w:keepNext/>
      <w:keepLines/>
      <w:spacing w:before="260" w:after="260" w:line="415" w:lineRule="auto"/>
      <w:outlineLvl w:val="2"/>
    </w:pPr>
    <w:rPr>
      <w:b/>
      <w:bCs/>
      <w:sz w:val="32"/>
      <w:szCs w:val="32"/>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2021-04-06T01:00:00Z</dcterms:created>
  <dc:creator>阿文</dc:creator>
  <cp:lastModifiedBy>dell</cp:lastModifiedBy>
  <dcterms:modified xsi:type="dcterms:W3CDTF">2022-02-24T03:11:54Z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A28796EA40134278976E99E834F24C08</vt:lpwstr>
  </property>
</Properties>
</file>