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lang w:eastAsia="zh-CN"/>
        </w:rPr>
        <w:t>浙江省</w:t>
      </w:r>
      <w:r>
        <w:rPr>
          <w:rFonts w:hint="eastAsia"/>
          <w:b/>
          <w:sz w:val="32"/>
          <w:szCs w:val="32"/>
        </w:rPr>
        <w:t>公路</w:t>
      </w:r>
      <w:r>
        <w:rPr>
          <w:rFonts w:hint="eastAsia"/>
          <w:b/>
          <w:sz w:val="32"/>
          <w:szCs w:val="32"/>
          <w:lang w:eastAsia="zh-CN"/>
        </w:rPr>
        <w:t>工程</w:t>
      </w:r>
      <w:r>
        <w:rPr>
          <w:rFonts w:hint="eastAsia"/>
          <w:b/>
          <w:sz w:val="32"/>
          <w:szCs w:val="32"/>
        </w:rPr>
        <w:t>施工招标文件示范文本</w:t>
      </w:r>
      <w:r>
        <w:rPr>
          <w:rFonts w:hint="eastAsia"/>
          <w:b/>
          <w:sz w:val="32"/>
          <w:szCs w:val="32"/>
          <w:lang w:eastAsia="zh-CN"/>
        </w:rPr>
        <w:t>（</w:t>
      </w:r>
      <w:r>
        <w:rPr>
          <w:rFonts w:hint="eastAsia"/>
          <w:b/>
          <w:sz w:val="32"/>
          <w:szCs w:val="32"/>
          <w:lang w:val="en-US" w:eastAsia="zh-CN"/>
        </w:rPr>
        <w:t>2022年版</w:t>
      </w:r>
      <w:r>
        <w:rPr>
          <w:rFonts w:hint="eastAsia"/>
          <w:b/>
          <w:sz w:val="32"/>
          <w:szCs w:val="32"/>
          <w:lang w:eastAsia="zh-CN"/>
        </w:rPr>
        <w:t>）</w:t>
      </w:r>
      <w:r>
        <w:rPr>
          <w:rFonts w:hint="eastAsia"/>
          <w:b/>
          <w:sz w:val="32"/>
          <w:szCs w:val="32"/>
        </w:rPr>
        <w:t>修订</w:t>
      </w:r>
      <w:r>
        <w:rPr>
          <w:b/>
          <w:sz w:val="32"/>
          <w:szCs w:val="32"/>
        </w:rPr>
        <w:t>反馈意见及采纳情况</w:t>
      </w:r>
    </w:p>
    <w:tbl>
      <w:tblPr>
        <w:tblStyle w:val="6"/>
        <w:tblW w:w="13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8036"/>
        <w:gridCol w:w="3399"/>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b/>
              </w:rPr>
            </w:pPr>
            <w:r>
              <w:rPr>
                <w:b/>
              </w:rPr>
              <w:t>序号</w:t>
            </w:r>
          </w:p>
        </w:tc>
        <w:tc>
          <w:tcPr>
            <w:tcW w:w="8036" w:type="dxa"/>
            <w:noWrap w:val="0"/>
            <w:vAlign w:val="top"/>
          </w:tcPr>
          <w:p>
            <w:pPr>
              <w:jc w:val="center"/>
              <w:rPr>
                <w:b/>
              </w:rPr>
            </w:pPr>
            <w:r>
              <w:rPr>
                <w:b/>
              </w:rPr>
              <w:t>反馈意见</w:t>
            </w:r>
          </w:p>
        </w:tc>
        <w:tc>
          <w:tcPr>
            <w:tcW w:w="3399" w:type="dxa"/>
            <w:noWrap w:val="0"/>
            <w:vAlign w:val="top"/>
          </w:tcPr>
          <w:p>
            <w:pPr>
              <w:jc w:val="center"/>
              <w:rPr>
                <w:b/>
              </w:rPr>
            </w:pPr>
            <w:r>
              <w:rPr>
                <w:b/>
              </w:rPr>
              <w:t>采纳情况</w:t>
            </w:r>
          </w:p>
        </w:tc>
        <w:tc>
          <w:tcPr>
            <w:tcW w:w="1819" w:type="dxa"/>
            <w:noWrap w:val="0"/>
            <w:vAlign w:val="top"/>
          </w:tcPr>
          <w:p>
            <w:pPr>
              <w:jc w:val="center"/>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rFonts w:hint="eastAsia" w:eastAsia="宋体"/>
                <w:lang w:eastAsia="zh-CN"/>
              </w:rPr>
            </w:pPr>
            <w:r>
              <w:rPr>
                <w:rFonts w:hint="eastAsia"/>
                <w:lang w:val="en-US" w:eastAsia="zh-CN"/>
              </w:rPr>
              <w:t>1</w:t>
            </w:r>
          </w:p>
        </w:tc>
        <w:tc>
          <w:tcPr>
            <w:tcW w:w="8036" w:type="dxa"/>
            <w:noWrap w:val="0"/>
            <w:vAlign w:val="center"/>
          </w:tcPr>
          <w:p>
            <w:pPr>
              <w:jc w:val="left"/>
            </w:pPr>
            <w:r>
              <w:rPr>
                <w:rFonts w:hint="eastAsia"/>
              </w:rPr>
              <w:t>建议：适当增加企业AA级加分使用次数，AA级允许使用五次，A级允许使用三次；人员信用评价不区分AA级和A级。</w:t>
            </w:r>
            <w:bookmarkStart w:id="0" w:name="_GoBack"/>
            <w:bookmarkEnd w:id="0"/>
          </w:p>
        </w:tc>
        <w:tc>
          <w:tcPr>
            <w:tcW w:w="3399" w:type="dxa"/>
            <w:noWrap w:val="0"/>
            <w:vAlign w:val="top"/>
          </w:tcPr>
          <w:p>
            <w:pPr>
              <w:rPr>
                <w:rFonts w:hint="eastAsia"/>
              </w:rPr>
            </w:pPr>
            <w:r>
              <w:rPr>
                <w:rFonts w:hint="eastAsia"/>
              </w:rPr>
              <w:t>部分采纳。AA级为三次/半年，A级为二次/半年。为避免投标人频繁变更投标项目经理、技术负责人和安全负责人，有必要区分AA级和A级的人员得分。</w:t>
            </w:r>
          </w:p>
        </w:tc>
        <w:tc>
          <w:tcPr>
            <w:tcW w:w="1819" w:type="dxa"/>
            <w:noWrap w:val="0"/>
            <w:vAlign w:val="top"/>
          </w:tcPr>
          <w:p>
            <w:r>
              <w:rPr>
                <w:rFonts w:hint="eastAsi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rFonts w:hint="eastAsia" w:eastAsia="宋体"/>
                <w:lang w:eastAsia="zh-CN"/>
              </w:rPr>
            </w:pPr>
            <w:r>
              <w:rPr>
                <w:rFonts w:hint="eastAsia"/>
                <w:lang w:val="en-US" w:eastAsia="zh-CN"/>
              </w:rPr>
              <w:t>2</w:t>
            </w:r>
          </w:p>
        </w:tc>
        <w:tc>
          <w:tcPr>
            <w:tcW w:w="8036" w:type="dxa"/>
            <w:noWrap w:val="0"/>
            <w:vAlign w:val="top"/>
          </w:tcPr>
          <w:p>
            <w:pPr>
              <w:jc w:val="left"/>
            </w:pPr>
            <w:r>
              <w:rPr>
                <w:rFonts w:hint="eastAsia"/>
              </w:rPr>
              <w:t>建议：3、B值计算方案三：在评审过程中，如果有第一信封或第二信封不通过的单位，可以按照B值从高到低的顺序，依次使用超出规定数量的单位作为替补。</w:t>
            </w:r>
          </w:p>
        </w:tc>
        <w:tc>
          <w:tcPr>
            <w:tcW w:w="3399" w:type="dxa"/>
            <w:noWrap w:val="0"/>
            <w:vAlign w:val="top"/>
          </w:tcPr>
          <w:p>
            <w:pPr>
              <w:rPr>
                <w:rFonts w:hint="eastAsia"/>
              </w:rPr>
            </w:pPr>
            <w:r>
              <w:rPr>
                <w:rFonts w:hint="eastAsia"/>
              </w:rPr>
              <w:t>未采纳，第二个信封否决后不再从第一个信封递补。</w:t>
            </w:r>
          </w:p>
        </w:tc>
        <w:tc>
          <w:tcPr>
            <w:tcW w:w="1819" w:type="dxa"/>
            <w:noWrap w:val="0"/>
            <w:vAlign w:val="top"/>
          </w:tcPr>
          <w:p>
            <w:r>
              <w:rPr>
                <w:rFonts w:hint="eastAsi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rFonts w:hint="eastAsia" w:eastAsia="宋体"/>
                <w:lang w:eastAsia="zh-CN"/>
              </w:rPr>
            </w:pPr>
            <w:r>
              <w:rPr>
                <w:rFonts w:hint="eastAsia"/>
                <w:lang w:val="en-US" w:eastAsia="zh-CN"/>
              </w:rPr>
              <w:t>3</w:t>
            </w:r>
          </w:p>
        </w:tc>
        <w:tc>
          <w:tcPr>
            <w:tcW w:w="8036" w:type="dxa"/>
            <w:noWrap w:val="0"/>
            <w:vAlign w:val="top"/>
          </w:tcPr>
          <w:p>
            <w:pPr>
              <w:jc w:val="left"/>
            </w:pPr>
            <w:r>
              <w:rPr>
                <w:rFonts w:hint="eastAsia"/>
              </w:rPr>
              <w:t>建议：2.2.1分值构成中a方案一和c方案三合并，选取c方案三即可。2.2.3</w:t>
            </w:r>
            <w:r>
              <w:t>评标基准价的计算：投标人评标价得分的计算</w:t>
            </w:r>
            <w:r>
              <w:rPr>
                <w:rFonts w:hint="eastAsia"/>
              </w:rPr>
              <w:t>的第（2）维持原规定</w:t>
            </w:r>
            <w:r>
              <w:t>：E1＝</w:t>
            </w:r>
            <w:r>
              <w:rPr>
                <w:rFonts w:hint="eastAsia"/>
              </w:rPr>
              <w:t>1.2</w:t>
            </w:r>
            <w:r>
              <w:t>；E2＝</w:t>
            </w:r>
            <w:r>
              <w:rPr>
                <w:rFonts w:hint="eastAsia"/>
              </w:rPr>
              <w:t>1.0</w:t>
            </w:r>
            <w:r>
              <w:t>。</w:t>
            </w:r>
          </w:p>
        </w:tc>
        <w:tc>
          <w:tcPr>
            <w:tcW w:w="3399" w:type="dxa"/>
            <w:noWrap w:val="0"/>
            <w:vAlign w:val="top"/>
          </w:tcPr>
          <w:p>
            <w:r>
              <w:rPr>
                <w:rFonts w:hint="eastAsia"/>
              </w:rPr>
              <w:t>部分采纳，明确仅保留方案二。E值应与技术通过制的合理低价法保持一致。</w:t>
            </w:r>
          </w:p>
        </w:tc>
        <w:tc>
          <w:tcPr>
            <w:tcW w:w="1819" w:type="dxa"/>
            <w:noWrap w:val="0"/>
            <w:vAlign w:val="top"/>
          </w:tcPr>
          <w:p>
            <w:r>
              <w:rPr>
                <w:rFonts w:hint="eastAsi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rFonts w:hint="eastAsia" w:eastAsia="宋体"/>
                <w:lang w:eastAsia="zh-CN"/>
              </w:rPr>
            </w:pPr>
            <w:r>
              <w:rPr>
                <w:rFonts w:hint="eastAsia"/>
                <w:lang w:val="en-US" w:eastAsia="zh-CN"/>
              </w:rPr>
              <w:t>4</w:t>
            </w:r>
          </w:p>
        </w:tc>
        <w:tc>
          <w:tcPr>
            <w:tcW w:w="8036" w:type="dxa"/>
            <w:noWrap w:val="0"/>
            <w:vAlign w:val="top"/>
          </w:tcPr>
          <w:p>
            <w:r>
              <w:rPr>
                <w:rFonts w:hint="eastAsia"/>
              </w:rPr>
              <w:t>1重大项目的工程建议采用技术通过制合理低价法，评标委员会对投标文件的施工组织设计、主要人员、其他等因素都会有不同见解，从而导致趋向性</w:t>
            </w:r>
          </w:p>
        </w:tc>
        <w:tc>
          <w:tcPr>
            <w:tcW w:w="3399" w:type="dxa"/>
            <w:noWrap w:val="0"/>
            <w:vAlign w:val="top"/>
          </w:tcPr>
          <w:p>
            <w:r>
              <w:rPr>
                <w:rFonts w:hint="eastAsia"/>
              </w:rPr>
              <w:t>未采纳。重大项目无法定义，附属工程一般应采用技术通过制的合理低价法。</w:t>
            </w:r>
          </w:p>
        </w:tc>
        <w:tc>
          <w:tcPr>
            <w:tcW w:w="1819" w:type="dxa"/>
            <w:noWrap w:val="0"/>
            <w:vAlign w:val="top"/>
          </w:tcPr>
          <w:p>
            <w:r>
              <w:rPr>
                <w:rFonts w:hint="eastAsia"/>
              </w:rPr>
              <w:t>宁波日月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rFonts w:hint="eastAsia" w:eastAsia="宋体"/>
                <w:lang w:eastAsia="zh-CN"/>
              </w:rPr>
            </w:pPr>
            <w:r>
              <w:rPr>
                <w:rFonts w:hint="eastAsia"/>
                <w:lang w:val="en-US" w:eastAsia="zh-CN"/>
              </w:rPr>
              <w:t>5</w:t>
            </w:r>
          </w:p>
        </w:tc>
        <w:tc>
          <w:tcPr>
            <w:tcW w:w="8036" w:type="dxa"/>
            <w:noWrap w:val="0"/>
            <w:vAlign w:val="top"/>
          </w:tcPr>
          <w:p>
            <w:r>
              <w:rPr>
                <w:rFonts w:hint="eastAsia"/>
              </w:rPr>
              <w:t>2、如今建筑企业可以申请多项资质，导致市场竞争激烈，当然这有助于我国经济和社会发展促进作用，实现优胜劣汰和资源的优化，一个主项资质代家着企业的主要业务，专业人做专业事，才能更好的服务于社会，发挥出最大的价值，完成高质量的工作。建议区分主项资质、增项资质的得分，如：主项1.0分，增项得自.5分;</w:t>
            </w:r>
          </w:p>
        </w:tc>
        <w:tc>
          <w:tcPr>
            <w:tcW w:w="3399" w:type="dxa"/>
            <w:noWrap w:val="0"/>
            <w:vAlign w:val="top"/>
          </w:tcPr>
          <w:p>
            <w:r>
              <w:rPr>
                <w:rFonts w:hint="eastAsia"/>
              </w:rPr>
              <w:t>未采纳。不符合“七个不准”要求：</w:t>
            </w:r>
            <w:r>
              <w:rPr>
                <w:szCs w:val="21"/>
              </w:rPr>
              <w:t>不准在采用通用技术标准的一般项目中设置资质、业绩、奖项等加分项；</w:t>
            </w:r>
          </w:p>
        </w:tc>
        <w:tc>
          <w:tcPr>
            <w:tcW w:w="1819" w:type="dxa"/>
            <w:noWrap w:val="0"/>
            <w:vAlign w:val="top"/>
          </w:tcPr>
          <w:p>
            <w:r>
              <w:rPr>
                <w:rFonts w:hint="eastAsia"/>
              </w:rPr>
              <w:t>宁波日月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05" w:type="dxa"/>
            <w:noWrap w:val="0"/>
            <w:vAlign w:val="top"/>
          </w:tcPr>
          <w:p>
            <w:pPr>
              <w:jc w:val="center"/>
              <w:rPr>
                <w:rFonts w:hint="eastAsia" w:eastAsia="宋体"/>
                <w:lang w:eastAsia="zh-CN"/>
              </w:rPr>
            </w:pPr>
            <w:r>
              <w:rPr>
                <w:rFonts w:hint="eastAsia"/>
                <w:lang w:val="en-US" w:eastAsia="zh-CN"/>
              </w:rPr>
              <w:t>6</w:t>
            </w:r>
          </w:p>
        </w:tc>
        <w:tc>
          <w:tcPr>
            <w:tcW w:w="8036" w:type="dxa"/>
            <w:noWrap w:val="0"/>
            <w:vAlign w:val="top"/>
          </w:tcPr>
          <w:p>
            <w:r>
              <w:rPr>
                <w:rFonts w:hint="eastAsia"/>
              </w:rPr>
              <w:t>现在新建工程对比以前少了</w:t>
            </w:r>
            <w:r>
              <w:rPr>
                <w:rFonts w:hint="eastAsia"/>
                <w:lang w:eastAsia="zh-CN"/>
              </w:rPr>
              <w:t>很</w:t>
            </w:r>
            <w:r>
              <w:rPr>
                <w:rFonts w:hint="eastAsia"/>
              </w:rPr>
              <w:t>多，</w:t>
            </w:r>
            <w:r>
              <w:rPr>
                <w:rFonts w:hint="eastAsia"/>
                <w:lang w:eastAsia="zh-CN"/>
              </w:rPr>
              <w:t>建议</w:t>
            </w:r>
            <w:r>
              <w:rPr>
                <w:rFonts w:hint="eastAsia"/>
              </w:rPr>
              <w:t>农村公路生命安全防护工程、安全实施提升或改造等项目列入交通安全实施工程的信用评价。</w:t>
            </w:r>
          </w:p>
        </w:tc>
        <w:tc>
          <w:tcPr>
            <w:tcW w:w="3399" w:type="dxa"/>
            <w:noWrap w:val="0"/>
            <w:vAlign w:val="top"/>
          </w:tcPr>
          <w:p>
            <w:r>
              <w:rPr>
                <w:rFonts w:hint="eastAsia"/>
              </w:rPr>
              <w:t>未采纳。与范本修订无关。</w:t>
            </w:r>
          </w:p>
        </w:tc>
        <w:tc>
          <w:tcPr>
            <w:tcW w:w="1819" w:type="dxa"/>
            <w:noWrap w:val="0"/>
            <w:vAlign w:val="top"/>
          </w:tcPr>
          <w:p>
            <w:r>
              <w:rPr>
                <w:rFonts w:hint="eastAsia"/>
              </w:rPr>
              <w:t>宁波日月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rFonts w:hint="eastAsia" w:eastAsia="宋体"/>
                <w:lang w:eastAsia="zh-CN"/>
              </w:rPr>
            </w:pPr>
            <w:r>
              <w:rPr>
                <w:rFonts w:hint="eastAsia"/>
                <w:lang w:val="en-US" w:eastAsia="zh-CN"/>
              </w:rPr>
              <w:t>7</w:t>
            </w:r>
          </w:p>
        </w:tc>
        <w:tc>
          <w:tcPr>
            <w:tcW w:w="8036" w:type="dxa"/>
            <w:noWrap w:val="0"/>
            <w:vAlign w:val="top"/>
          </w:tcPr>
          <w:p>
            <w:r>
              <w:rPr>
                <w:rFonts w:hint="eastAsia"/>
              </w:rPr>
              <w:t>由于市场竞争激烈，导致人员加分难上加难，有分的越来越好，没分的越来越差，建议取消项目经理、项目技术负责人、安全负责人的信用加分。</w:t>
            </w:r>
          </w:p>
        </w:tc>
        <w:tc>
          <w:tcPr>
            <w:tcW w:w="3399" w:type="dxa"/>
            <w:noWrap w:val="0"/>
            <w:vAlign w:val="top"/>
          </w:tcPr>
          <w:p>
            <w:r>
              <w:rPr>
                <w:rFonts w:hint="eastAsia"/>
              </w:rPr>
              <w:t>采纳。人员信用加分仅在综合评分法的项目中使用。</w:t>
            </w:r>
          </w:p>
        </w:tc>
        <w:tc>
          <w:tcPr>
            <w:tcW w:w="1819" w:type="dxa"/>
            <w:noWrap w:val="0"/>
            <w:vAlign w:val="top"/>
          </w:tcPr>
          <w:p>
            <w:r>
              <w:rPr>
                <w:rFonts w:hint="eastAsia"/>
              </w:rPr>
              <w:t>宁波日月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rFonts w:hint="eastAsia" w:eastAsia="宋体"/>
                <w:lang w:eastAsia="zh-CN"/>
              </w:rPr>
            </w:pPr>
            <w:r>
              <w:rPr>
                <w:rFonts w:hint="eastAsia"/>
                <w:lang w:val="en-US" w:eastAsia="zh-CN"/>
              </w:rPr>
              <w:t>8</w:t>
            </w:r>
          </w:p>
        </w:tc>
        <w:tc>
          <w:tcPr>
            <w:tcW w:w="8036" w:type="dxa"/>
            <w:noWrap w:val="0"/>
            <w:vAlign w:val="top"/>
          </w:tcPr>
          <w:p>
            <w:pPr>
              <w:rPr>
                <w:rFonts w:ascii="宋体" w:hAnsi="宋体" w:eastAsia="宋体"/>
                <w:sz w:val="28"/>
                <w:szCs w:val="28"/>
              </w:rPr>
            </w:pPr>
            <w:r>
              <w:rPr>
                <w:rFonts w:hint="eastAsia"/>
              </w:rPr>
              <w:t>关于对</w:t>
            </w:r>
            <w:r>
              <w:t>《浙江省公路工程施工招标文件示范文本》（2022年版）</w:t>
            </w:r>
            <w:r>
              <w:rPr>
                <w:rFonts w:hint="eastAsia"/>
              </w:rPr>
              <w:t>P</w:t>
            </w:r>
            <w:r>
              <w:t>218</w:t>
            </w:r>
            <w:r>
              <w:rPr>
                <w:rFonts w:hint="eastAsia"/>
              </w:rPr>
              <w:t>银行存款证明格式建议取消，因为每个银行出具的银行存款证明银行内部系统有自己的格式，无法按照招标文件示范文本中的格式打印，范本只规定要附招标公告后的存款证明即可，不指定特定格式。</w:t>
            </w:r>
          </w:p>
        </w:tc>
        <w:tc>
          <w:tcPr>
            <w:tcW w:w="3399" w:type="dxa"/>
            <w:noWrap w:val="0"/>
            <w:vAlign w:val="top"/>
          </w:tcPr>
          <w:p>
            <w:r>
              <w:rPr>
                <w:rFonts w:hint="eastAsia"/>
              </w:rPr>
              <w:t>未采纳。注中有说明：</w:t>
            </w:r>
            <w:r>
              <w:t>允许投标人实际开具的银行存款证明的格式与本表格式有所不同，但不得更改本存款证明格式中的实质性内容</w:t>
            </w:r>
            <w:r>
              <w:rPr>
                <w:rFonts w:hint="eastAsia"/>
              </w:rPr>
              <w:t>。</w:t>
            </w:r>
          </w:p>
        </w:tc>
        <w:tc>
          <w:tcPr>
            <w:tcW w:w="1819" w:type="dxa"/>
            <w:noWrap w:val="0"/>
            <w:vAlign w:val="top"/>
          </w:tcPr>
          <w:p>
            <w:r>
              <w:rPr>
                <w:rFonts w:hint="eastAsi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top"/>
          </w:tcPr>
          <w:p>
            <w:pPr>
              <w:jc w:val="center"/>
              <w:rPr>
                <w:rFonts w:hint="eastAsia" w:eastAsia="宋体"/>
                <w:lang w:eastAsia="zh-CN"/>
              </w:rPr>
            </w:pPr>
            <w:r>
              <w:rPr>
                <w:rFonts w:hint="eastAsia"/>
                <w:lang w:val="en-US" w:eastAsia="zh-CN"/>
              </w:rPr>
              <w:t>9</w:t>
            </w:r>
          </w:p>
        </w:tc>
        <w:tc>
          <w:tcPr>
            <w:tcW w:w="8036" w:type="dxa"/>
            <w:noWrap w:val="0"/>
            <w:vAlign w:val="top"/>
          </w:tcPr>
          <w:p>
            <w:r>
              <w:rPr>
                <w:rFonts w:hint="eastAsia"/>
              </w:rPr>
              <w:t>随着道路交通的不断发展，高速、城市快速路各类一级公路发展的日新月异，交安和机电等附属设施也日益重要，作为保障行车安全的最后一道防线的附属设施是否考虑采用“技术通过制的合理低价法”或“技术打分制合理低价法”这两种评标办法来选取具有丰富施工经验和施工能力的施工单位来实施。</w:t>
            </w:r>
          </w:p>
        </w:tc>
        <w:tc>
          <w:tcPr>
            <w:tcW w:w="3399" w:type="dxa"/>
            <w:noWrap w:val="0"/>
            <w:vAlign w:val="top"/>
          </w:tcPr>
          <w:p>
            <w:r>
              <w:rPr>
                <w:rFonts w:hint="eastAsia"/>
              </w:rPr>
              <w:t>采纳。附属工程</w:t>
            </w:r>
            <w:r>
              <w:rPr>
                <w:rFonts w:hint="eastAsia"/>
                <w:szCs w:val="21"/>
              </w:rPr>
              <w:t>也可采用技术打分制的合理低价法</w:t>
            </w:r>
            <w:r>
              <w:rPr>
                <w:rFonts w:hint="eastAsia"/>
                <w:kern w:val="0"/>
                <w:szCs w:val="21"/>
              </w:rPr>
              <w:t>。</w:t>
            </w:r>
          </w:p>
        </w:tc>
        <w:tc>
          <w:tcPr>
            <w:tcW w:w="1819" w:type="dxa"/>
            <w:noWrap w:val="0"/>
            <w:vAlign w:val="top"/>
          </w:tcPr>
          <w:p>
            <w:r>
              <w:rPr>
                <w:rFonts w:hint="eastAsia"/>
              </w:rPr>
              <w:t>余姚交通标志</w:t>
            </w:r>
          </w:p>
        </w:tc>
      </w:tr>
    </w:tbl>
    <w:p/>
    <w:sectPr>
      <w:footerReference r:id="rId3" w:type="default"/>
      <w:pgSz w:w="16838" w:h="11906" w:orient="landscape"/>
      <w:pgMar w:top="1588" w:right="1440"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E4"/>
    <w:rsid w:val="000027E2"/>
    <w:rsid w:val="00005D54"/>
    <w:rsid w:val="00012E9D"/>
    <w:rsid w:val="000219F5"/>
    <w:rsid w:val="000243EC"/>
    <w:rsid w:val="00025D82"/>
    <w:rsid w:val="0004391E"/>
    <w:rsid w:val="00052C9F"/>
    <w:rsid w:val="00054FCB"/>
    <w:rsid w:val="0005500D"/>
    <w:rsid w:val="00064F4B"/>
    <w:rsid w:val="000A01EE"/>
    <w:rsid w:val="000A1DBF"/>
    <w:rsid w:val="000A2FBE"/>
    <w:rsid w:val="000A3FBB"/>
    <w:rsid w:val="000A797D"/>
    <w:rsid w:val="000B4AB8"/>
    <w:rsid w:val="000C37D4"/>
    <w:rsid w:val="000D2504"/>
    <w:rsid w:val="000D4661"/>
    <w:rsid w:val="000D6189"/>
    <w:rsid w:val="000E0DDE"/>
    <w:rsid w:val="000E5D87"/>
    <w:rsid w:val="001055CF"/>
    <w:rsid w:val="00123174"/>
    <w:rsid w:val="00127837"/>
    <w:rsid w:val="001578C4"/>
    <w:rsid w:val="001608E8"/>
    <w:rsid w:val="00162341"/>
    <w:rsid w:val="001968BE"/>
    <w:rsid w:val="001A5820"/>
    <w:rsid w:val="001B4CEE"/>
    <w:rsid w:val="001C691F"/>
    <w:rsid w:val="001C7CFA"/>
    <w:rsid w:val="001E10AA"/>
    <w:rsid w:val="001E2C18"/>
    <w:rsid w:val="001E326E"/>
    <w:rsid w:val="001E7958"/>
    <w:rsid w:val="001F57F4"/>
    <w:rsid w:val="001F7771"/>
    <w:rsid w:val="00203351"/>
    <w:rsid w:val="00204FFE"/>
    <w:rsid w:val="00206047"/>
    <w:rsid w:val="00214586"/>
    <w:rsid w:val="00215C82"/>
    <w:rsid w:val="00216F2C"/>
    <w:rsid w:val="00225BF9"/>
    <w:rsid w:val="002365BB"/>
    <w:rsid w:val="00237F21"/>
    <w:rsid w:val="0026049F"/>
    <w:rsid w:val="00283FDB"/>
    <w:rsid w:val="002A01DD"/>
    <w:rsid w:val="002B5496"/>
    <w:rsid w:val="002B77F9"/>
    <w:rsid w:val="002C480A"/>
    <w:rsid w:val="002E5E93"/>
    <w:rsid w:val="002F2B1C"/>
    <w:rsid w:val="003178DF"/>
    <w:rsid w:val="00342435"/>
    <w:rsid w:val="003431A9"/>
    <w:rsid w:val="00351082"/>
    <w:rsid w:val="00357CC9"/>
    <w:rsid w:val="00362D8E"/>
    <w:rsid w:val="00393685"/>
    <w:rsid w:val="003A2774"/>
    <w:rsid w:val="003A6F17"/>
    <w:rsid w:val="003B227F"/>
    <w:rsid w:val="003B786D"/>
    <w:rsid w:val="003D0006"/>
    <w:rsid w:val="003E45C0"/>
    <w:rsid w:val="00407695"/>
    <w:rsid w:val="00412BC9"/>
    <w:rsid w:val="00414DE4"/>
    <w:rsid w:val="0042354A"/>
    <w:rsid w:val="004245C7"/>
    <w:rsid w:val="00435103"/>
    <w:rsid w:val="00441687"/>
    <w:rsid w:val="00442320"/>
    <w:rsid w:val="00443123"/>
    <w:rsid w:val="00443E52"/>
    <w:rsid w:val="004456CF"/>
    <w:rsid w:val="00453D86"/>
    <w:rsid w:val="00462918"/>
    <w:rsid w:val="00462953"/>
    <w:rsid w:val="004749E0"/>
    <w:rsid w:val="00476689"/>
    <w:rsid w:val="00487F3A"/>
    <w:rsid w:val="00496438"/>
    <w:rsid w:val="004A107F"/>
    <w:rsid w:val="004B0DCF"/>
    <w:rsid w:val="004B2D56"/>
    <w:rsid w:val="004B74B7"/>
    <w:rsid w:val="004C19CD"/>
    <w:rsid w:val="004C215B"/>
    <w:rsid w:val="004C6F72"/>
    <w:rsid w:val="004E5D8C"/>
    <w:rsid w:val="00507307"/>
    <w:rsid w:val="00514DA1"/>
    <w:rsid w:val="00521696"/>
    <w:rsid w:val="005318AA"/>
    <w:rsid w:val="0053252C"/>
    <w:rsid w:val="00551382"/>
    <w:rsid w:val="0055172F"/>
    <w:rsid w:val="005829CB"/>
    <w:rsid w:val="00583C1D"/>
    <w:rsid w:val="00587FD5"/>
    <w:rsid w:val="005918A5"/>
    <w:rsid w:val="005A08BE"/>
    <w:rsid w:val="005A0933"/>
    <w:rsid w:val="005A516F"/>
    <w:rsid w:val="005B2264"/>
    <w:rsid w:val="005E1E35"/>
    <w:rsid w:val="005F307C"/>
    <w:rsid w:val="00600245"/>
    <w:rsid w:val="00605EDB"/>
    <w:rsid w:val="00606331"/>
    <w:rsid w:val="0062226E"/>
    <w:rsid w:val="00624B3A"/>
    <w:rsid w:val="00631259"/>
    <w:rsid w:val="00637C4E"/>
    <w:rsid w:val="006405C1"/>
    <w:rsid w:val="006624FD"/>
    <w:rsid w:val="00670513"/>
    <w:rsid w:val="00673088"/>
    <w:rsid w:val="0068156D"/>
    <w:rsid w:val="00684E77"/>
    <w:rsid w:val="00685688"/>
    <w:rsid w:val="00694950"/>
    <w:rsid w:val="006A24CD"/>
    <w:rsid w:val="006A4EE2"/>
    <w:rsid w:val="006D3233"/>
    <w:rsid w:val="006D3424"/>
    <w:rsid w:val="006D5E87"/>
    <w:rsid w:val="006D7569"/>
    <w:rsid w:val="006E4495"/>
    <w:rsid w:val="006E544E"/>
    <w:rsid w:val="006E5AAD"/>
    <w:rsid w:val="006F0DEC"/>
    <w:rsid w:val="006F51B0"/>
    <w:rsid w:val="006F7028"/>
    <w:rsid w:val="007113C4"/>
    <w:rsid w:val="00725415"/>
    <w:rsid w:val="007366B2"/>
    <w:rsid w:val="0074302A"/>
    <w:rsid w:val="0074335D"/>
    <w:rsid w:val="00757ECD"/>
    <w:rsid w:val="007662E5"/>
    <w:rsid w:val="00774714"/>
    <w:rsid w:val="00776440"/>
    <w:rsid w:val="007A6AB6"/>
    <w:rsid w:val="007D1117"/>
    <w:rsid w:val="007D574A"/>
    <w:rsid w:val="007D7308"/>
    <w:rsid w:val="007F07DA"/>
    <w:rsid w:val="007F4B4C"/>
    <w:rsid w:val="007F6E2F"/>
    <w:rsid w:val="0080575E"/>
    <w:rsid w:val="00807D0A"/>
    <w:rsid w:val="008103E0"/>
    <w:rsid w:val="00814043"/>
    <w:rsid w:val="008444CA"/>
    <w:rsid w:val="00852AD3"/>
    <w:rsid w:val="00852E7F"/>
    <w:rsid w:val="00856C07"/>
    <w:rsid w:val="008571B4"/>
    <w:rsid w:val="00861E6E"/>
    <w:rsid w:val="00872249"/>
    <w:rsid w:val="00874F48"/>
    <w:rsid w:val="008966FC"/>
    <w:rsid w:val="008B4619"/>
    <w:rsid w:val="008B4A4B"/>
    <w:rsid w:val="008B67C9"/>
    <w:rsid w:val="008C5A99"/>
    <w:rsid w:val="008D24A3"/>
    <w:rsid w:val="008E2E68"/>
    <w:rsid w:val="008E3D08"/>
    <w:rsid w:val="008F0AC4"/>
    <w:rsid w:val="008F111A"/>
    <w:rsid w:val="008F26A4"/>
    <w:rsid w:val="008F3D69"/>
    <w:rsid w:val="009023AC"/>
    <w:rsid w:val="00902EB3"/>
    <w:rsid w:val="00914641"/>
    <w:rsid w:val="00931367"/>
    <w:rsid w:val="00941F9B"/>
    <w:rsid w:val="0094248A"/>
    <w:rsid w:val="00953A1E"/>
    <w:rsid w:val="00955071"/>
    <w:rsid w:val="00964B0C"/>
    <w:rsid w:val="009669E5"/>
    <w:rsid w:val="009B2575"/>
    <w:rsid w:val="009C0AB8"/>
    <w:rsid w:val="009D0C45"/>
    <w:rsid w:val="009D3140"/>
    <w:rsid w:val="009D3F07"/>
    <w:rsid w:val="009D6055"/>
    <w:rsid w:val="009E01A0"/>
    <w:rsid w:val="009E0F28"/>
    <w:rsid w:val="009E425C"/>
    <w:rsid w:val="009E50E4"/>
    <w:rsid w:val="009E586B"/>
    <w:rsid w:val="009E643E"/>
    <w:rsid w:val="009F3005"/>
    <w:rsid w:val="009F4791"/>
    <w:rsid w:val="009F57BF"/>
    <w:rsid w:val="009F7BBF"/>
    <w:rsid w:val="00A05F99"/>
    <w:rsid w:val="00A0690D"/>
    <w:rsid w:val="00A16D3E"/>
    <w:rsid w:val="00A31450"/>
    <w:rsid w:val="00A42FC3"/>
    <w:rsid w:val="00A43C54"/>
    <w:rsid w:val="00A442A9"/>
    <w:rsid w:val="00A46175"/>
    <w:rsid w:val="00A50FC1"/>
    <w:rsid w:val="00A53994"/>
    <w:rsid w:val="00A63F4C"/>
    <w:rsid w:val="00A703AF"/>
    <w:rsid w:val="00A70402"/>
    <w:rsid w:val="00A718FC"/>
    <w:rsid w:val="00A80104"/>
    <w:rsid w:val="00A865D2"/>
    <w:rsid w:val="00A93FD2"/>
    <w:rsid w:val="00A94836"/>
    <w:rsid w:val="00AD4EB8"/>
    <w:rsid w:val="00AD5998"/>
    <w:rsid w:val="00B03BFC"/>
    <w:rsid w:val="00B03C1B"/>
    <w:rsid w:val="00B16065"/>
    <w:rsid w:val="00B51533"/>
    <w:rsid w:val="00B573E6"/>
    <w:rsid w:val="00B72C7F"/>
    <w:rsid w:val="00B84D12"/>
    <w:rsid w:val="00B9071A"/>
    <w:rsid w:val="00B92D82"/>
    <w:rsid w:val="00BA03D1"/>
    <w:rsid w:val="00BA73C1"/>
    <w:rsid w:val="00BB3B60"/>
    <w:rsid w:val="00BB41ED"/>
    <w:rsid w:val="00BB584D"/>
    <w:rsid w:val="00BB7502"/>
    <w:rsid w:val="00BD1DE1"/>
    <w:rsid w:val="00BD2579"/>
    <w:rsid w:val="00BE099B"/>
    <w:rsid w:val="00BE6D6F"/>
    <w:rsid w:val="00BF0334"/>
    <w:rsid w:val="00BF3718"/>
    <w:rsid w:val="00BF7276"/>
    <w:rsid w:val="00BF7921"/>
    <w:rsid w:val="00C17002"/>
    <w:rsid w:val="00C30226"/>
    <w:rsid w:val="00C44B95"/>
    <w:rsid w:val="00C51AA4"/>
    <w:rsid w:val="00C52037"/>
    <w:rsid w:val="00C553B2"/>
    <w:rsid w:val="00C57ECC"/>
    <w:rsid w:val="00C661FC"/>
    <w:rsid w:val="00C70994"/>
    <w:rsid w:val="00C75DB1"/>
    <w:rsid w:val="00C843F4"/>
    <w:rsid w:val="00C853E6"/>
    <w:rsid w:val="00C874EA"/>
    <w:rsid w:val="00CA58E7"/>
    <w:rsid w:val="00CC4059"/>
    <w:rsid w:val="00CE0E8F"/>
    <w:rsid w:val="00CE5596"/>
    <w:rsid w:val="00D015EF"/>
    <w:rsid w:val="00D16122"/>
    <w:rsid w:val="00D33D75"/>
    <w:rsid w:val="00D3485E"/>
    <w:rsid w:val="00D354AA"/>
    <w:rsid w:val="00D61A9C"/>
    <w:rsid w:val="00D66B0C"/>
    <w:rsid w:val="00D75D97"/>
    <w:rsid w:val="00D81A06"/>
    <w:rsid w:val="00D85F1C"/>
    <w:rsid w:val="00D949AA"/>
    <w:rsid w:val="00DA0240"/>
    <w:rsid w:val="00DA238E"/>
    <w:rsid w:val="00DA3EBA"/>
    <w:rsid w:val="00DB4359"/>
    <w:rsid w:val="00DB7EA3"/>
    <w:rsid w:val="00DC01E1"/>
    <w:rsid w:val="00DE6AE0"/>
    <w:rsid w:val="00DF3441"/>
    <w:rsid w:val="00E17B41"/>
    <w:rsid w:val="00E17D37"/>
    <w:rsid w:val="00E203AC"/>
    <w:rsid w:val="00E26895"/>
    <w:rsid w:val="00E36038"/>
    <w:rsid w:val="00E83D4D"/>
    <w:rsid w:val="00EA12D5"/>
    <w:rsid w:val="00EA5696"/>
    <w:rsid w:val="00EA64F3"/>
    <w:rsid w:val="00EC04DB"/>
    <w:rsid w:val="00EC1043"/>
    <w:rsid w:val="00EC1B84"/>
    <w:rsid w:val="00EC42C2"/>
    <w:rsid w:val="00EC5A43"/>
    <w:rsid w:val="00ED3803"/>
    <w:rsid w:val="00EE1CEB"/>
    <w:rsid w:val="00EE3595"/>
    <w:rsid w:val="00EE6BE6"/>
    <w:rsid w:val="00EF20F6"/>
    <w:rsid w:val="00EF296E"/>
    <w:rsid w:val="00EF3C04"/>
    <w:rsid w:val="00EF70FC"/>
    <w:rsid w:val="00EF7349"/>
    <w:rsid w:val="00F04515"/>
    <w:rsid w:val="00F0681B"/>
    <w:rsid w:val="00F23B75"/>
    <w:rsid w:val="00F2498A"/>
    <w:rsid w:val="00F50EDD"/>
    <w:rsid w:val="00F735E3"/>
    <w:rsid w:val="00F9362C"/>
    <w:rsid w:val="00FA209D"/>
    <w:rsid w:val="00FA68F5"/>
    <w:rsid w:val="00FC3F6D"/>
    <w:rsid w:val="00FC5A53"/>
    <w:rsid w:val="00FC63F1"/>
    <w:rsid w:val="00FD4D92"/>
    <w:rsid w:val="00FD778B"/>
    <w:rsid w:val="00FE2E71"/>
    <w:rsid w:val="00FF158B"/>
    <w:rsid w:val="00FF6C17"/>
    <w:rsid w:val="3BDD61BF"/>
    <w:rsid w:val="793075EF"/>
    <w:rsid w:val="BFDFE5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character" w:styleId="11">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1545</Words>
  <Characters>8809</Characters>
  <Lines>73</Lines>
  <Paragraphs>20</Paragraphs>
  <TotalTime>46.3333333333333</TotalTime>
  <ScaleCrop>false</ScaleCrop>
  <LinksUpToDate>false</LinksUpToDate>
  <CharactersWithSpaces>10334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2023-11-09T14:56:00Z</dcterms:created>
  <dc:creator>NTKO</dc:creator>
  <cp:lastModifiedBy>小小小葉秋</cp:lastModifiedBy>
  <cp:lastPrinted>2023-09-19T13:49:00Z</cp:lastPrinted>
  <dcterms:modified xsi:type="dcterms:W3CDTF">2023-11-10T07:37:12Z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C8A5A5BA9539472BBB6B63419D3F8D10_13</vt:lpwstr>
  </property>
</Properties>
</file>