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楷体_GB2312" w:eastAsia="楷体_GB2312"/>
          <w:szCs w:val="32"/>
        </w:rPr>
      </w:pPr>
      <w:r>
        <w:rPr>
          <w:rFonts w:hint="eastAsia" w:ascii="方正小标宋简体" w:eastAsia="方正小标宋简体"/>
          <w:sz w:val="44"/>
          <w:szCs w:val="44"/>
        </w:rPr>
        <w:t>浙江省高等级航道通航建筑物运行管理规定</w:t>
      </w:r>
    </w:p>
    <w:p>
      <w:pPr>
        <w:spacing w:line="580" w:lineRule="exact"/>
        <w:ind w:firstLine="640"/>
        <w:jc w:val="center"/>
      </w:pPr>
    </w:p>
    <w:p>
      <w:pPr>
        <w:pStyle w:val="5"/>
        <w:rPr>
          <w:rFonts w:hint="eastAsia"/>
        </w:rPr>
      </w:pPr>
      <w:r>
        <w:rPr>
          <w:rFonts w:hint="eastAsia"/>
        </w:rPr>
        <w:t>一、总体要求</w:t>
      </w:r>
    </w:p>
    <w:p>
      <w:pPr>
        <w:spacing w:line="580" w:lineRule="exact"/>
        <w:ind w:firstLine="640"/>
        <w:rPr>
          <w:rFonts w:hint="eastAsia" w:ascii="仿宋_GB2312" w:hAnsi="仿宋_GB2312"/>
          <w:szCs w:val="32"/>
        </w:rPr>
      </w:pPr>
      <w:r>
        <w:rPr>
          <w:rFonts w:hint="eastAsia" w:ascii="仿宋_GB2312" w:hAnsi="仿宋_GB2312"/>
          <w:szCs w:val="32"/>
        </w:rPr>
        <w:t>为规范我省四级以上高等级航道（含京杭运河杭州市区段和杭甬运河宁波市区段）上与船舶通行相关的通航建筑物的运行管理，保障通航建筑物安全高效运行，充分发挥航运效益，依据《中华人民共和国航道法》《通航建筑物运行管理办法》《浙江省航道管理条例》和其他有关规定，结合本省实际，制定本规定。</w:t>
      </w:r>
    </w:p>
    <w:p>
      <w:pPr>
        <w:spacing w:line="580" w:lineRule="exact"/>
        <w:ind w:firstLine="640"/>
        <w:rPr>
          <w:rFonts w:ascii="仿宋_GB2312" w:hAnsi="仿宋_GB2312"/>
          <w:szCs w:val="32"/>
        </w:rPr>
      </w:pPr>
      <w:r>
        <w:rPr>
          <w:rFonts w:hint="eastAsia" w:ascii="仿宋_GB2312" w:hAnsi="仿宋_GB2312"/>
          <w:szCs w:val="32"/>
        </w:rPr>
        <w:t>通航建筑物运行和养护资金，应当通过财政预算、以电养航、收取过闸费等方式予以保障，并建立相应的评价考核激励机制。</w:t>
      </w:r>
    </w:p>
    <w:p>
      <w:pPr>
        <w:spacing w:line="580" w:lineRule="exact"/>
        <w:ind w:firstLine="640"/>
        <w:rPr>
          <w:rFonts w:hint="eastAsia" w:ascii="仿宋_GB2312" w:hAnsi="仿宋_GB2312"/>
          <w:szCs w:val="32"/>
        </w:rPr>
      </w:pPr>
      <w:r>
        <w:rPr>
          <w:rFonts w:hint="eastAsia" w:ascii="仿宋_GB2312" w:hAnsi="仿宋_GB2312"/>
          <w:szCs w:val="32"/>
        </w:rPr>
        <w:t>通航建筑物运行单位由承担通航建筑物建设主体责任的人民政府指定或者组建。运行单位承担通航建筑物的运行、调度、养护、安全、应急等具体工作，并履行通航建筑物安全运行的主体责任。</w:t>
      </w:r>
    </w:p>
    <w:p>
      <w:pPr>
        <w:pStyle w:val="5"/>
      </w:pPr>
      <w:r>
        <w:rPr>
          <w:rFonts w:hint="eastAsia"/>
        </w:rPr>
        <w:t>二、加强</w:t>
      </w:r>
      <w:r>
        <w:t>通航建筑物运行</w:t>
      </w:r>
      <w:r>
        <w:rPr>
          <w:rFonts w:hint="eastAsia"/>
        </w:rPr>
        <w:t>管理</w:t>
      </w:r>
    </w:p>
    <w:p>
      <w:pPr>
        <w:spacing w:line="580" w:lineRule="exact"/>
        <w:ind w:firstLine="640"/>
        <w:rPr>
          <w:rFonts w:hint="eastAsia" w:ascii="仿宋_GB2312" w:hAnsi="仿宋_GB2312"/>
          <w:szCs w:val="32"/>
        </w:rPr>
      </w:pPr>
      <w:r>
        <w:rPr>
          <w:rFonts w:hint="eastAsia" w:ascii="仿宋_GB2312" w:hAnsi="仿宋_GB2312"/>
          <w:szCs w:val="32"/>
        </w:rPr>
        <w:t>运行单位应当按照相关技术标准编制运行方案，按照《浙江省航道行政许可规定》报航道主管部门审批。运行单位应当严格执行经审批的运行方案，不得随意变更。需要调整的，运行单位应当重新编制运行方案并报原审批部门审批。</w:t>
      </w:r>
    </w:p>
    <w:p>
      <w:pPr>
        <w:spacing w:line="580" w:lineRule="exact"/>
        <w:ind w:firstLine="640"/>
        <w:rPr>
          <w:rFonts w:hint="eastAsia" w:ascii="仿宋_GB2312" w:hAnsi="仿宋_GB2312"/>
          <w:szCs w:val="32"/>
        </w:rPr>
      </w:pPr>
      <w:r>
        <w:rPr>
          <w:rFonts w:hint="eastAsia" w:ascii="仿宋_GB2312" w:hAnsi="仿宋_GB2312"/>
          <w:szCs w:val="32"/>
        </w:rPr>
        <w:t>运行单位应当实施精细化管理，采取水位与船舶吃水动态管理、待闸区域合理利用、船舶分类调度等措施，保障船舶高效通行。</w:t>
      </w:r>
    </w:p>
    <w:p>
      <w:pPr>
        <w:spacing w:line="580" w:lineRule="exact"/>
        <w:ind w:firstLine="640"/>
        <w:rPr>
          <w:rFonts w:hint="eastAsia" w:ascii="仿宋_GB2312" w:hAnsi="仿宋_GB2312"/>
          <w:szCs w:val="32"/>
        </w:rPr>
      </w:pPr>
      <w:r>
        <w:rPr>
          <w:rFonts w:hint="eastAsia" w:ascii="仿宋_GB2312" w:hAnsi="仿宋_GB2312"/>
          <w:szCs w:val="32"/>
        </w:rPr>
        <w:t>通航建筑物的运行时间应当与船舶通行需求相适应。未全天候运行的通航建筑物应当建立应急延时运行机制。通航建筑物满足设计通闸运行条件时实施通闸运行。通闸运行条件调整的，运行单位应当按照有关规定组织通闸安全专题论证。</w:t>
      </w:r>
    </w:p>
    <w:p>
      <w:pPr>
        <w:spacing w:line="580" w:lineRule="exact"/>
        <w:ind w:firstLine="640"/>
        <w:rPr>
          <w:rFonts w:hint="eastAsia" w:ascii="仿宋_GB2312" w:hAnsi="仿宋_GB2312"/>
          <w:szCs w:val="32"/>
        </w:rPr>
      </w:pPr>
      <w:r>
        <w:rPr>
          <w:rFonts w:hint="eastAsia" w:ascii="仿宋_GB2312" w:hAnsi="仿宋_GB2312"/>
          <w:szCs w:val="32"/>
        </w:rPr>
        <w:t>运行单位应当全面、及时、准确记录船舶过闸和通航建筑物运行数据，向社会公开通航建筑物基本数据、运行方案、过闸记录等信息，并向港航管理机构报送运行数据。</w:t>
      </w:r>
    </w:p>
    <w:p>
      <w:pPr>
        <w:spacing w:line="580" w:lineRule="exact"/>
        <w:ind w:firstLine="640"/>
        <w:rPr>
          <w:rFonts w:hint="eastAsia" w:ascii="仿宋_GB2312" w:hAnsi="仿宋_GB2312"/>
          <w:szCs w:val="32"/>
        </w:rPr>
      </w:pPr>
      <w:r>
        <w:rPr>
          <w:rFonts w:hint="eastAsia" w:ascii="仿宋_GB2312" w:hAnsi="仿宋_GB2312"/>
          <w:szCs w:val="32"/>
        </w:rPr>
        <w:t>运行单位应当建立船舶过闸诚信管理制度，送当地港航管理机构。</w:t>
      </w:r>
    </w:p>
    <w:p>
      <w:pPr>
        <w:spacing w:line="580" w:lineRule="exact"/>
        <w:ind w:firstLine="640"/>
        <w:rPr>
          <w:rFonts w:hint="eastAsia" w:ascii="仿宋_GB2312" w:hAnsi="仿宋_GB2312"/>
          <w:szCs w:val="32"/>
        </w:rPr>
      </w:pPr>
      <w:r>
        <w:rPr>
          <w:rFonts w:hint="eastAsia" w:ascii="仿宋_GB2312" w:hAnsi="仿宋_GB2312"/>
          <w:szCs w:val="32"/>
        </w:rPr>
        <w:t>运行单位应当运行全省统一的过闸信息系统，实现数据共享、互联互通、联合调度、高效运行。</w:t>
      </w:r>
    </w:p>
    <w:p>
      <w:pPr>
        <w:pStyle w:val="5"/>
      </w:pPr>
      <w:r>
        <w:rPr>
          <w:rFonts w:hint="eastAsia"/>
        </w:rPr>
        <w:t>三、加强</w:t>
      </w:r>
      <w:r>
        <w:t>船舶调度</w:t>
      </w:r>
      <w:r>
        <w:rPr>
          <w:rFonts w:hint="eastAsia"/>
        </w:rPr>
        <w:t>管理</w:t>
      </w:r>
    </w:p>
    <w:p>
      <w:pPr>
        <w:spacing w:line="580" w:lineRule="exact"/>
        <w:ind w:firstLine="640"/>
        <w:rPr>
          <w:rFonts w:hint="eastAsia" w:ascii="仿宋_GB2312" w:hAnsi="仿宋_GB2312"/>
          <w:szCs w:val="32"/>
        </w:rPr>
      </w:pPr>
      <w:r>
        <w:rPr>
          <w:rFonts w:hint="eastAsia" w:ascii="仿宋_GB2312" w:hAnsi="仿宋_GB2312"/>
          <w:szCs w:val="32"/>
        </w:rPr>
        <w:t>船舶调度应当遵循安全第一、先到先过、重点优先、兼顾效率的原则。抢险救灾船、军事运输船、客运班轮、重点急运物资船、执行任务的公务船等优先过闸。</w:t>
      </w:r>
    </w:p>
    <w:p>
      <w:pPr>
        <w:spacing w:line="580" w:lineRule="exact"/>
        <w:ind w:firstLine="640"/>
        <w:rPr>
          <w:rFonts w:hint="eastAsia" w:ascii="仿宋_GB2312" w:hAnsi="仿宋_GB2312"/>
          <w:szCs w:val="32"/>
        </w:rPr>
      </w:pPr>
      <w:r>
        <w:rPr>
          <w:rFonts w:hint="eastAsia" w:ascii="仿宋_GB2312" w:hAnsi="仿宋_GB2312"/>
          <w:szCs w:val="32"/>
        </w:rPr>
        <w:t>过闸前，船舶应当通过过闸信息系统向运行单位提出过闸申请,如实提供船名、船舶类型、最大平面尺度、实际吃水、货种、实际载货（客）量等相关信息。为确保船舶信息准确性，首次过闸申报需提供船舶检验证书，基础信息变更需提供有效资料。</w:t>
      </w:r>
    </w:p>
    <w:p>
      <w:pPr>
        <w:spacing w:line="580" w:lineRule="exact"/>
        <w:ind w:firstLine="640"/>
        <w:rPr>
          <w:rFonts w:hint="eastAsia" w:ascii="仿宋_GB2312" w:hAnsi="仿宋_GB2312"/>
          <w:szCs w:val="32"/>
        </w:rPr>
      </w:pPr>
      <w:r>
        <w:rPr>
          <w:rFonts w:hint="eastAsia" w:ascii="仿宋_GB2312" w:hAnsi="仿宋_GB2312"/>
          <w:szCs w:val="32"/>
        </w:rPr>
        <w:t>载运危险货物的船舶应当符合船舶载运危险货物的有关规定，持有相应的有效证书、单证等材料，在过闸前将危险货物的具体情况向运行单位报告，并确认所载货物已经合理配载和有效系固。运行单位应当制定载运危险货物船舶专项运行调度和通航保障方案并严格实施，不得安排载运危险货物的船舶与客船同一闸次通过。</w:t>
      </w:r>
    </w:p>
    <w:p>
      <w:pPr>
        <w:spacing w:line="580" w:lineRule="exact"/>
        <w:ind w:firstLine="640"/>
        <w:rPr>
          <w:rFonts w:hint="eastAsia" w:ascii="仿宋_GB2312" w:hAnsi="仿宋_GB2312"/>
          <w:szCs w:val="32"/>
        </w:rPr>
      </w:pPr>
      <w:r>
        <w:rPr>
          <w:rFonts w:hint="eastAsia" w:ascii="仿宋_GB2312" w:hAnsi="仿宋_GB2312"/>
          <w:szCs w:val="32"/>
        </w:rPr>
        <w:t>客船过闸期间，运行单位应当保证通航建筑物疏散通道和安全出口畅通、相关设施设备完好。通航建筑物处于非运行时段，等候过闸的船舶应当驶至安全区域停泊，有序停靠；未申报过闸船舶，不得停靠在引航道待闸区。</w:t>
      </w:r>
    </w:p>
    <w:p>
      <w:pPr>
        <w:spacing w:line="580" w:lineRule="exact"/>
        <w:ind w:firstLine="640"/>
        <w:rPr>
          <w:rFonts w:hint="eastAsia" w:ascii="仿宋_GB2312" w:hAnsi="仿宋_GB2312"/>
          <w:szCs w:val="32"/>
        </w:rPr>
      </w:pPr>
      <w:r>
        <w:rPr>
          <w:rFonts w:hint="eastAsia" w:ascii="仿宋_GB2312" w:hAnsi="仿宋_GB2312"/>
          <w:szCs w:val="32"/>
        </w:rPr>
        <w:t>同一航道上下游建有多个通航建筑物的，各相关海事、港航管理机构和运行单位应当根据船舶拥堵和应急情况建立协调联动机制，保障船舶有序、高效通行。</w:t>
      </w:r>
    </w:p>
    <w:p>
      <w:pPr>
        <w:pStyle w:val="5"/>
      </w:pPr>
      <w:r>
        <w:rPr>
          <w:rFonts w:hint="eastAsia"/>
        </w:rPr>
        <w:t>四、加强</w:t>
      </w:r>
      <w:r>
        <w:t>通航建筑物</w:t>
      </w:r>
      <w:r>
        <w:rPr>
          <w:rFonts w:hint="eastAsia"/>
        </w:rPr>
        <w:t>养护</w:t>
      </w:r>
    </w:p>
    <w:p>
      <w:pPr>
        <w:spacing w:line="580" w:lineRule="exact"/>
        <w:ind w:firstLine="640"/>
        <w:rPr>
          <w:rFonts w:ascii="仿宋_GB2312" w:hAnsi="仿宋_GB2312"/>
          <w:szCs w:val="32"/>
        </w:rPr>
      </w:pPr>
      <w:r>
        <w:rPr>
          <w:rFonts w:hint="eastAsia" w:ascii="仿宋_GB2312" w:hAnsi="仿宋_GB2312"/>
          <w:szCs w:val="32"/>
        </w:rPr>
        <w:t>通航建筑物养护内容应当包括检查检测、设备与设施技术状态等级评定、保养与修理等工作。运行单位应当根据相关技术标准制定通航建筑物养护管理制度和技术规程，确定养护的类别、项目、内容、周期和标准，建立养护技术档案并做好统计分析，保障通航建筑物正常运行。鼓励在养护工作中应用新技术、新材料和新工艺。</w:t>
      </w:r>
    </w:p>
    <w:p>
      <w:pPr>
        <w:spacing w:line="580" w:lineRule="exact"/>
        <w:ind w:firstLine="640"/>
        <w:rPr>
          <w:rFonts w:hint="eastAsia" w:ascii="仿宋_GB2312" w:hAnsi="仿宋_GB2312"/>
          <w:szCs w:val="32"/>
        </w:rPr>
      </w:pPr>
      <w:r>
        <w:rPr>
          <w:rFonts w:hint="eastAsia" w:ascii="仿宋_GB2312" w:hAnsi="仿宋_GB2312"/>
          <w:szCs w:val="32"/>
        </w:rPr>
        <w:t>水工结构检测每5年不少于一次，边坡、船闸闸阀门、升船机金属结构、启闭机、升船机主提升机、电气设备、辅助设施检测每年不少于1次，并根据检测结果合理确定技术状态等级。</w:t>
      </w:r>
    </w:p>
    <w:p>
      <w:pPr>
        <w:spacing w:line="580" w:lineRule="exact"/>
        <w:ind w:firstLine="640"/>
        <w:rPr>
          <w:rFonts w:ascii="仿宋_GB2312" w:hAnsi="仿宋_GB2312"/>
          <w:szCs w:val="32"/>
        </w:rPr>
      </w:pPr>
      <w:r>
        <w:rPr>
          <w:rFonts w:hint="eastAsia" w:ascii="仿宋_GB2312" w:hAnsi="仿宋_GB2312"/>
          <w:szCs w:val="32"/>
        </w:rPr>
        <w:t>通航建筑物养护分为例行保养、定期保养、专项修理、抢修、大修五类。例行保养应当制定相应标准并结合通航建筑物日常运行开展工作。定期保养、专项修理应当根据保养情况及设备与设施技术状态开展工作，并制定修理计划，年度保养应当结合春节合理安排。通航建筑物发生事故或者设备设施突现重大缺陷、故障，危及通航安全运行和正常通航时，应当组织抢修。</w:t>
      </w:r>
    </w:p>
    <w:p>
      <w:pPr>
        <w:spacing w:line="580" w:lineRule="exact"/>
        <w:ind w:firstLine="640"/>
        <w:rPr>
          <w:rFonts w:hint="eastAsia" w:ascii="仿宋_GB2312" w:hAnsi="仿宋_GB2312"/>
          <w:szCs w:val="32"/>
        </w:rPr>
      </w:pPr>
      <w:r>
        <w:rPr>
          <w:rFonts w:hint="eastAsia" w:ascii="仿宋_GB2312" w:hAnsi="仿宋_GB2312"/>
          <w:szCs w:val="32"/>
        </w:rPr>
        <w:t>通航建筑物大修具体组织实施时间应当根据相关技术标准在通航建筑物检测和鉴定的基础上合理确定。同一航道上相邻通航建筑物，需停航检修和大修的一般应当安排在同一时间作业。四级以上高等级航道（含京杭运河杭州市区段）上的通航建筑物大修经费按省有关规定由省市财政共同承担。</w:t>
      </w:r>
    </w:p>
    <w:p>
      <w:pPr>
        <w:pStyle w:val="5"/>
      </w:pPr>
      <w:r>
        <w:rPr>
          <w:rFonts w:hint="eastAsia"/>
        </w:rPr>
        <w:t>五、加强</w:t>
      </w:r>
      <w:r>
        <w:t>运行安全</w:t>
      </w:r>
      <w:r>
        <w:rPr>
          <w:rFonts w:hint="eastAsia"/>
        </w:rPr>
        <w:t>管理</w:t>
      </w:r>
    </w:p>
    <w:p>
      <w:pPr>
        <w:spacing w:line="580" w:lineRule="exact"/>
        <w:ind w:firstLine="640"/>
        <w:rPr>
          <w:rFonts w:hint="eastAsia" w:ascii="仿宋_GB2312" w:hAnsi="仿宋_GB2312"/>
          <w:szCs w:val="32"/>
        </w:rPr>
      </w:pPr>
      <w:r>
        <w:rPr>
          <w:rFonts w:hint="eastAsia" w:ascii="仿宋_GB2312" w:hAnsi="仿宋_GB2312"/>
          <w:szCs w:val="32"/>
        </w:rPr>
        <w:t>运行单位应当按照有关法律、法规和规章建立健全安全管理相关制度和操作规程，加强安全管理，确保通航建筑物安全运行。</w:t>
      </w:r>
    </w:p>
    <w:p>
      <w:pPr>
        <w:spacing w:line="580" w:lineRule="exact"/>
        <w:ind w:firstLine="640"/>
        <w:rPr>
          <w:rFonts w:hint="eastAsia" w:ascii="仿宋_GB2312" w:hAnsi="仿宋_GB2312"/>
          <w:szCs w:val="32"/>
        </w:rPr>
      </w:pPr>
      <w:r>
        <w:rPr>
          <w:rFonts w:hint="eastAsia" w:ascii="仿宋_GB2312" w:hAnsi="仿宋_GB2312"/>
          <w:szCs w:val="32"/>
        </w:rPr>
        <w:t>运行单位应当对通航建筑物运行进行监测和巡查，加强监测数据的整理分析、诊断、评估，针对不同风险，制定具体的管控措施，落实管控责任。对发现的异常情况、重大问题或者安全隐患，应当按照有关规定处理，并及时向航道主管部门和其他相关部门报告。</w:t>
      </w:r>
    </w:p>
    <w:p>
      <w:pPr>
        <w:spacing w:line="580" w:lineRule="exact"/>
        <w:ind w:firstLine="640"/>
        <w:rPr>
          <w:rFonts w:ascii="仿宋_GB2312" w:hAnsi="仿宋_GB2312"/>
          <w:szCs w:val="32"/>
        </w:rPr>
      </w:pPr>
      <w:r>
        <w:rPr>
          <w:rFonts w:hint="eastAsia" w:ascii="仿宋_GB2312" w:hAnsi="仿宋_GB2312"/>
          <w:szCs w:val="32"/>
        </w:rPr>
        <w:t>航道主管部门应当依法制定、公布通航建筑物运行突发事件应急预案，建立健全突发事件应急管理体系，与当地人民政府应急预案相衔接，并保障组织实施。 运行单位应当制定并公布本单位通航建筑物运行突发事件应急预案，与航道主管部门公布的通航建筑物运行突发事件应急预案相衔接，并加强应急物资储备，定期开展应急演练。</w:t>
      </w:r>
    </w:p>
    <w:p>
      <w:pPr>
        <w:spacing w:line="580" w:lineRule="exact"/>
        <w:ind w:firstLine="640"/>
        <w:rPr>
          <w:rFonts w:hint="eastAsia" w:ascii="仿宋_GB2312" w:hAnsi="仿宋_GB2312"/>
          <w:szCs w:val="32"/>
        </w:rPr>
      </w:pPr>
      <w:r>
        <w:rPr>
          <w:rFonts w:hint="eastAsia" w:ascii="仿宋_GB2312" w:hAnsi="仿宋_GB2312"/>
          <w:szCs w:val="32"/>
        </w:rPr>
        <w:t>发生船舶搁浅、设备故障等需停闸的情形，运行单位应当及时向港航管理机构报告。停闸2小时以上的报设区的市、县（市、区）港航管理机构，停闸4小时以上的同步报省港航管理中心。</w:t>
      </w:r>
    </w:p>
    <w:p>
      <w:pPr>
        <w:spacing w:line="580" w:lineRule="exact"/>
        <w:ind w:firstLine="640"/>
        <w:rPr>
          <w:rFonts w:hint="eastAsia" w:ascii="仿宋_GB2312" w:hAnsi="仿宋_GB2312"/>
          <w:szCs w:val="32"/>
        </w:rPr>
      </w:pPr>
      <w:r>
        <w:rPr>
          <w:rFonts w:hint="eastAsia" w:ascii="仿宋_GB2312" w:hAnsi="仿宋_GB2312"/>
          <w:szCs w:val="32"/>
        </w:rPr>
        <w:t>有下列情形之一的，运行单位应当停止开放通航建筑物：</w:t>
      </w:r>
    </w:p>
    <w:p>
      <w:pPr>
        <w:spacing w:line="580" w:lineRule="exact"/>
        <w:ind w:firstLine="640"/>
        <w:rPr>
          <w:rFonts w:hint="eastAsia" w:ascii="仿宋_GB2312" w:hAnsi="仿宋_GB2312"/>
          <w:szCs w:val="32"/>
        </w:rPr>
      </w:pPr>
      <w:r>
        <w:rPr>
          <w:rFonts w:hint="eastAsia" w:ascii="仿宋_GB2312" w:hAnsi="仿宋_GB2312"/>
          <w:szCs w:val="32"/>
        </w:rPr>
        <w:t>1</w:t>
      </w:r>
      <w:r>
        <w:rPr>
          <w:rFonts w:ascii="仿宋_GB2312" w:hAnsi="仿宋_GB2312"/>
          <w:szCs w:val="32"/>
        </w:rPr>
        <w:t>.</w:t>
      </w:r>
      <w:r>
        <w:rPr>
          <w:rFonts w:hint="eastAsia" w:ascii="仿宋_GB2312" w:hAnsi="仿宋_GB2312"/>
          <w:szCs w:val="32"/>
        </w:rPr>
        <w:t>因防汛、泄洪等情况，有关防汛指挥机构依法要求停航的；</w:t>
      </w:r>
    </w:p>
    <w:p>
      <w:pPr>
        <w:spacing w:line="580" w:lineRule="exact"/>
        <w:ind w:firstLine="640"/>
        <w:rPr>
          <w:rFonts w:hint="eastAsia" w:ascii="仿宋_GB2312" w:hAnsi="仿宋_GB2312"/>
          <w:szCs w:val="32"/>
        </w:rPr>
      </w:pPr>
      <w:r>
        <w:rPr>
          <w:rFonts w:hint="eastAsia" w:ascii="仿宋_GB2312" w:hAnsi="仿宋_GB2312"/>
          <w:szCs w:val="32"/>
        </w:rPr>
        <w:t>2.遇有大风、大雾、暴雨、地震、事故、重大疫情或者其他突发事件，可能危及通航建筑物运行安全的；</w:t>
      </w:r>
    </w:p>
    <w:p>
      <w:pPr>
        <w:spacing w:line="580" w:lineRule="exact"/>
        <w:ind w:firstLine="640"/>
        <w:rPr>
          <w:rFonts w:hint="eastAsia" w:ascii="仿宋_GB2312" w:hAnsi="黑体"/>
          <w:szCs w:val="32"/>
        </w:rPr>
      </w:pPr>
      <w:r>
        <w:rPr>
          <w:rFonts w:hint="eastAsia" w:ascii="仿宋_GB2312" w:hAnsi="仿宋_GB2312"/>
          <w:szCs w:val="32"/>
        </w:rPr>
        <w:t>3</w:t>
      </w:r>
      <w:r>
        <w:rPr>
          <w:rFonts w:ascii="仿宋_GB2312" w:hAnsi="仿宋_GB2312"/>
          <w:szCs w:val="32"/>
        </w:rPr>
        <w:t>.</w:t>
      </w:r>
      <w:r>
        <w:rPr>
          <w:rFonts w:hint="eastAsia" w:ascii="仿宋_GB2312" w:hAnsi="仿宋_GB2312"/>
          <w:szCs w:val="32"/>
        </w:rPr>
        <w:t>通航水域流量、水位等不符合运行条件的；</w:t>
      </w:r>
    </w:p>
    <w:p>
      <w:pPr>
        <w:spacing w:line="580" w:lineRule="exact"/>
        <w:ind w:firstLine="640"/>
        <w:rPr>
          <w:rFonts w:hint="eastAsia" w:ascii="仿宋_GB2312" w:hAnsi="仿宋_GB2312"/>
          <w:szCs w:val="32"/>
        </w:rPr>
      </w:pPr>
      <w:r>
        <w:rPr>
          <w:rFonts w:hint="eastAsia" w:ascii="仿宋_GB2312" w:hAnsi="仿宋_GB2312"/>
          <w:szCs w:val="32"/>
        </w:rPr>
        <w:t>4</w:t>
      </w:r>
      <w:r>
        <w:rPr>
          <w:rFonts w:ascii="仿宋_GB2312" w:hAnsi="仿宋_GB2312"/>
          <w:szCs w:val="32"/>
        </w:rPr>
        <w:t>.</w:t>
      </w:r>
      <w:r>
        <w:rPr>
          <w:rFonts w:hint="eastAsia" w:ascii="仿宋_GB2312" w:hAnsi="仿宋_GB2312"/>
          <w:szCs w:val="32"/>
        </w:rPr>
        <w:t>按照运行方案进行养护或者应急抢修需要停航的；</w:t>
      </w:r>
    </w:p>
    <w:p>
      <w:pPr>
        <w:spacing w:line="580" w:lineRule="exact"/>
        <w:ind w:firstLine="640"/>
        <w:rPr>
          <w:rFonts w:hint="eastAsia" w:ascii="仿宋_GB2312" w:hAnsi="仿宋_GB2312"/>
          <w:szCs w:val="32"/>
        </w:rPr>
      </w:pPr>
      <w:r>
        <w:rPr>
          <w:rFonts w:hint="eastAsia" w:ascii="仿宋_GB2312" w:hAnsi="仿宋_GB2312"/>
          <w:szCs w:val="32"/>
        </w:rPr>
        <w:t>5</w:t>
      </w:r>
      <w:r>
        <w:rPr>
          <w:rFonts w:ascii="仿宋_GB2312" w:hAnsi="仿宋_GB2312"/>
          <w:szCs w:val="32"/>
        </w:rPr>
        <w:t>.</w:t>
      </w:r>
      <w:r>
        <w:rPr>
          <w:rFonts w:hint="eastAsia" w:ascii="仿宋_GB2312" w:hAnsi="仿宋_GB2312"/>
          <w:szCs w:val="32"/>
        </w:rPr>
        <w:t>应当禁止通航的其他情况。</w:t>
      </w:r>
    </w:p>
    <w:p>
      <w:pPr>
        <w:spacing w:line="580" w:lineRule="exact"/>
        <w:ind w:firstLine="640"/>
        <w:rPr>
          <w:rFonts w:hint="eastAsia" w:ascii="仿宋_GB2312" w:hAnsi="仿宋_GB2312"/>
          <w:szCs w:val="32"/>
        </w:rPr>
      </w:pPr>
      <w:r>
        <w:rPr>
          <w:rFonts w:hint="eastAsia" w:ascii="仿宋_GB2312" w:hAnsi="仿宋_GB2312"/>
          <w:szCs w:val="32"/>
        </w:rPr>
        <w:t>除按照运行方案进行养护需提前公布并报告停航、复航信息外，上述其他情形运行单位应当及时向社会公布停航、复航信息，并报告港航管理机构和海事管理机构。</w:t>
      </w:r>
    </w:p>
    <w:p>
      <w:pPr>
        <w:pStyle w:val="5"/>
        <w:rPr>
          <w:rFonts w:hint="eastAsia"/>
        </w:rPr>
      </w:pPr>
      <w:r>
        <w:rPr>
          <w:rFonts w:hint="eastAsia"/>
        </w:rPr>
        <w:t>六、加强</w:t>
      </w:r>
      <w:r>
        <w:t>监督</w:t>
      </w:r>
      <w:r>
        <w:rPr>
          <w:rFonts w:hint="eastAsia"/>
        </w:rPr>
        <w:t>考评</w:t>
      </w:r>
    </w:p>
    <w:p>
      <w:pPr>
        <w:spacing w:line="580" w:lineRule="exact"/>
        <w:ind w:firstLine="640"/>
        <w:rPr>
          <w:rFonts w:hint="eastAsia" w:ascii="仿宋_GB2312" w:hAnsi="仿宋_GB2312"/>
          <w:szCs w:val="32"/>
        </w:rPr>
      </w:pPr>
      <w:r>
        <w:rPr>
          <w:rFonts w:hint="eastAsia" w:ascii="仿宋_GB2312" w:hAnsi="仿宋_GB2312"/>
          <w:szCs w:val="32"/>
        </w:rPr>
        <w:t>航道主管部门应当加强对运行方案、管理制度、养护计划执行情况及台账等通航建筑物运行关键信息的监督检查，必要时可聘请专家参与检查。对监督检查中发现的问题，应当及时下发整改通知书，责令运行单位限期整改。</w:t>
      </w:r>
    </w:p>
    <w:p>
      <w:pPr>
        <w:spacing w:line="580" w:lineRule="exact"/>
        <w:ind w:firstLine="640"/>
        <w:rPr>
          <w:rFonts w:hint="eastAsia" w:ascii="仿宋_GB2312" w:hAnsi="仿宋_GB2312"/>
          <w:szCs w:val="32"/>
        </w:rPr>
      </w:pPr>
      <w:r>
        <w:rPr>
          <w:rFonts w:hint="eastAsia" w:ascii="仿宋_GB2312" w:hAnsi="仿宋_GB2312"/>
          <w:szCs w:val="32"/>
        </w:rPr>
        <w:t>省交通运输厅每年组织通航建筑物运行管理考评，考评结果分优良、合格和不合格三个等次，作为地方政府评价考核运行单位的依据之一。</w:t>
      </w:r>
    </w:p>
    <w:p>
      <w:pPr>
        <w:spacing w:line="580" w:lineRule="exact"/>
        <w:ind w:firstLine="640"/>
        <w:rPr>
          <w:rFonts w:hint="eastAsia" w:ascii="仿宋_GB2312" w:hAnsi="仿宋_GB2312"/>
          <w:szCs w:val="32"/>
        </w:rPr>
      </w:pPr>
      <w:r>
        <w:rPr>
          <w:rFonts w:hint="eastAsia" w:ascii="仿宋_GB2312" w:hAnsi="仿宋_GB2312"/>
          <w:szCs w:val="32"/>
        </w:rPr>
        <w:t>通航建筑物运行考评内容主要包括制度建设、运行管理、养护实施、安全保障、服务对象满意度以及台账资料等内容。</w:t>
      </w:r>
    </w:p>
    <w:p>
      <w:pPr>
        <w:pStyle w:val="5"/>
      </w:pPr>
      <w:r>
        <w:rPr>
          <w:rFonts w:hint="eastAsia"/>
        </w:rPr>
        <w:t>七、</w:t>
      </w:r>
      <w:r>
        <w:t>附则</w:t>
      </w:r>
    </w:p>
    <w:p>
      <w:pPr>
        <w:autoSpaceDE w:val="0"/>
        <w:autoSpaceDN w:val="0"/>
        <w:adjustRightInd w:val="0"/>
        <w:snapToGrid w:val="0"/>
        <w:spacing w:line="700" w:lineRule="exact"/>
        <w:ind w:firstLine="628" w:firstLineChars="200"/>
        <w:jc w:val="left"/>
        <w:rPr>
          <w:rFonts w:hint="eastAsia" w:ascii="仿宋_GB2312" w:hAnsi="仿宋_GB2312"/>
          <w:szCs w:val="32"/>
        </w:rPr>
      </w:pPr>
      <w:r>
        <w:rPr>
          <w:rFonts w:hint="eastAsia" w:ascii="仿宋_GB2312" w:hAnsi="仿宋_GB2312"/>
          <w:szCs w:val="32"/>
        </w:rPr>
        <w:t>本规定自</w:t>
      </w:r>
      <w:r>
        <w:rPr>
          <w:rFonts w:hint="eastAsia" w:ascii="仿宋_GB2312"/>
          <w:szCs w:val="32"/>
        </w:rPr>
        <w:t>2021</w:t>
      </w:r>
      <w:r>
        <w:rPr>
          <w:rFonts w:hint="eastAsia" w:ascii="仿宋_GB2312" w:hAnsi="仿宋_GB2312"/>
          <w:szCs w:val="32"/>
        </w:rPr>
        <w:t>年</w:t>
      </w:r>
      <w:r>
        <w:rPr>
          <w:rFonts w:hint="eastAsia" w:ascii="仿宋_GB2312"/>
          <w:szCs w:val="32"/>
        </w:rPr>
        <w:t>10</w:t>
      </w:r>
      <w:r>
        <w:rPr>
          <w:rFonts w:hint="eastAsia" w:ascii="仿宋_GB2312" w:hAnsi="仿宋_GB2312"/>
          <w:szCs w:val="32"/>
        </w:rPr>
        <w:t>月</w:t>
      </w:r>
      <w:r>
        <w:rPr>
          <w:rFonts w:hint="eastAsia" w:ascii="仿宋_GB2312"/>
          <w:szCs w:val="32"/>
        </w:rPr>
        <w:t>18</w:t>
      </w:r>
      <w:r>
        <w:rPr>
          <w:rFonts w:hint="eastAsia" w:ascii="仿宋_GB2312" w:hAnsi="仿宋_GB2312"/>
          <w:szCs w:val="32"/>
        </w:rPr>
        <w:t>日起施行。其他航道上通航建筑物的运行管理可参照执行。</w:t>
      </w:r>
    </w:p>
    <w:p>
      <w:pPr>
        <w:autoSpaceDE w:val="0"/>
        <w:autoSpaceDN w:val="0"/>
        <w:adjustRightInd w:val="0"/>
        <w:snapToGrid w:val="0"/>
        <w:spacing w:line="700" w:lineRule="exact"/>
        <w:ind w:firstLine="628" w:firstLineChars="200"/>
        <w:jc w:val="left"/>
        <w:rPr>
          <w:rFonts w:hint="eastAsia" w:ascii="仿宋_GB2312" w:hAnsi="仿宋_GB2312"/>
          <w:szCs w:val="32"/>
        </w:rPr>
      </w:pPr>
    </w:p>
    <w:p>
      <w:pPr>
        <w:autoSpaceDE w:val="0"/>
        <w:autoSpaceDN w:val="0"/>
        <w:adjustRightInd w:val="0"/>
        <w:snapToGrid w:val="0"/>
        <w:spacing w:line="700" w:lineRule="exact"/>
        <w:ind w:firstLine="628" w:firstLineChars="200"/>
        <w:jc w:val="left"/>
        <w:rPr>
          <w:rFonts w:hint="eastAsia" w:ascii="仿宋_GB2312" w:hAnsi="仿宋_GB2312"/>
          <w:szCs w:val="32"/>
        </w:rPr>
      </w:pPr>
    </w:p>
    <w:p>
      <w:pPr>
        <w:autoSpaceDE w:val="0"/>
        <w:autoSpaceDN w:val="0"/>
        <w:adjustRightInd w:val="0"/>
        <w:snapToGrid w:val="0"/>
        <w:spacing w:line="700" w:lineRule="exact"/>
        <w:ind w:firstLine="628" w:firstLineChars="200"/>
        <w:jc w:val="left"/>
        <w:rPr>
          <w:rFonts w:hint="eastAsia" w:ascii="仿宋_GB2312" w:hAnsi="仿宋_GB2312"/>
          <w:szCs w:val="32"/>
        </w:rPr>
      </w:pPr>
    </w:p>
    <w:p>
      <w:pPr>
        <w:autoSpaceDE w:val="0"/>
        <w:autoSpaceDN w:val="0"/>
        <w:adjustRightInd w:val="0"/>
        <w:snapToGrid w:val="0"/>
        <w:spacing w:line="700" w:lineRule="exact"/>
        <w:ind w:firstLine="628" w:firstLineChars="200"/>
        <w:jc w:val="left"/>
        <w:rPr>
          <w:rFonts w:hint="eastAsia" w:ascii="仿宋_GB2312" w:hAnsi="仿宋_GB2312"/>
          <w:szCs w:val="32"/>
        </w:rPr>
      </w:pPr>
    </w:p>
    <w:p>
      <w:pPr>
        <w:autoSpaceDE w:val="0"/>
        <w:autoSpaceDN w:val="0"/>
        <w:adjustRightInd w:val="0"/>
        <w:snapToGrid w:val="0"/>
        <w:spacing w:line="700" w:lineRule="exact"/>
        <w:ind w:firstLine="628" w:firstLineChars="200"/>
        <w:jc w:val="left"/>
        <w:rPr>
          <w:rFonts w:hint="eastAsia" w:ascii="仿宋_GB2312" w:hAnsi="仿宋_GB2312"/>
          <w:szCs w:val="32"/>
        </w:rPr>
      </w:pPr>
    </w:p>
    <w:p>
      <w:pPr>
        <w:autoSpaceDE w:val="0"/>
        <w:autoSpaceDN w:val="0"/>
        <w:adjustRightInd w:val="0"/>
        <w:snapToGrid w:val="0"/>
        <w:spacing w:line="700" w:lineRule="exact"/>
        <w:ind w:firstLine="628" w:firstLineChars="200"/>
        <w:jc w:val="left"/>
        <w:rPr>
          <w:rFonts w:hint="eastAsia" w:ascii="仿宋_GB2312" w:hAnsi="仿宋_GB2312"/>
          <w:szCs w:val="32"/>
        </w:rPr>
      </w:pPr>
    </w:p>
    <w:p>
      <w:pPr>
        <w:autoSpaceDE w:val="0"/>
        <w:autoSpaceDN w:val="0"/>
        <w:adjustRightInd w:val="0"/>
        <w:snapToGrid w:val="0"/>
        <w:spacing w:line="700" w:lineRule="exact"/>
        <w:ind w:firstLine="628" w:firstLineChars="200"/>
        <w:jc w:val="left"/>
        <w:rPr>
          <w:rFonts w:hint="eastAsia" w:ascii="仿宋_GB2312" w:hAnsi="仿宋_GB2312"/>
          <w:szCs w:val="32"/>
        </w:rPr>
      </w:pPr>
    </w:p>
    <w:p>
      <w:pPr>
        <w:autoSpaceDE w:val="0"/>
        <w:autoSpaceDN w:val="0"/>
        <w:adjustRightInd w:val="0"/>
        <w:snapToGrid w:val="0"/>
        <w:spacing w:line="700" w:lineRule="exact"/>
        <w:ind w:firstLine="628" w:firstLineChars="200"/>
        <w:jc w:val="left"/>
        <w:rPr>
          <w:rFonts w:hint="eastAsia" w:ascii="仿宋_GB2312" w:hAnsi="仿宋_GB2312"/>
          <w:szCs w:val="32"/>
        </w:rPr>
      </w:pPr>
    </w:p>
    <w:p>
      <w:pPr>
        <w:autoSpaceDE w:val="0"/>
        <w:autoSpaceDN w:val="0"/>
        <w:adjustRightInd w:val="0"/>
        <w:snapToGrid w:val="0"/>
        <w:spacing w:line="700" w:lineRule="exact"/>
        <w:ind w:firstLine="628" w:firstLineChars="200"/>
        <w:jc w:val="left"/>
        <w:rPr>
          <w:rFonts w:ascii="黑体" w:hAnsi="黑体" w:eastAsia="黑体"/>
          <w:szCs w:val="21"/>
        </w:rPr>
      </w:pPr>
    </w:p>
    <w:p>
      <w:pPr>
        <w:autoSpaceDE w:val="0"/>
        <w:autoSpaceDN w:val="0"/>
        <w:adjustRightInd w:val="0"/>
        <w:snapToGrid w:val="0"/>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浙江省航道养护管理规定</w:t>
      </w:r>
    </w:p>
    <w:p>
      <w:pPr>
        <w:autoSpaceDE w:val="0"/>
        <w:autoSpaceDN w:val="0"/>
        <w:adjustRightInd w:val="0"/>
        <w:snapToGrid w:val="0"/>
        <w:spacing w:line="700" w:lineRule="exact"/>
        <w:jc w:val="center"/>
        <w:rPr>
          <w:rFonts w:ascii="仿宋_GB2312"/>
          <w:szCs w:val="32"/>
        </w:rPr>
      </w:pPr>
    </w:p>
    <w:p>
      <w:pPr>
        <w:pStyle w:val="2"/>
        <w:spacing w:line="580" w:lineRule="exact"/>
        <w:ind w:firstLine="628"/>
      </w:pPr>
      <w:r>
        <w:rPr>
          <w:rFonts w:hint="eastAsia"/>
        </w:rPr>
        <w:t>一、总体要求</w:t>
      </w:r>
    </w:p>
    <w:p>
      <w:pPr>
        <w:autoSpaceDE w:val="0"/>
        <w:autoSpaceDN w:val="0"/>
        <w:adjustRightInd w:val="0"/>
        <w:snapToGrid w:val="0"/>
        <w:spacing w:line="580" w:lineRule="exact"/>
        <w:ind w:firstLine="640"/>
        <w:rPr>
          <w:rFonts w:ascii="仿宋_GB2312"/>
          <w:szCs w:val="32"/>
        </w:rPr>
      </w:pPr>
      <w:r>
        <w:rPr>
          <w:rFonts w:hint="eastAsia" w:ascii="仿宋_GB2312"/>
          <w:szCs w:val="32"/>
        </w:rPr>
        <w:t>为规范和加强我省航道养护管理工作，提高航道养护质量和服务水平，保障航道安全畅通，根据《中华人民共和国航道法》、《中华人民共和国航道管理条例》《浙江省航道管理条例》《航道养护管理规定》《内河航道维护技术规范》</w:t>
      </w:r>
      <w:r>
        <w:rPr>
          <w:rFonts w:hint="eastAsia" w:ascii="仿宋_GB2312" w:hAnsi="仿宋_GB2312"/>
          <w:szCs w:val="32"/>
        </w:rPr>
        <w:t>和其他有关规定，</w:t>
      </w:r>
      <w:r>
        <w:rPr>
          <w:rFonts w:hint="eastAsia" w:ascii="仿宋_GB2312"/>
          <w:szCs w:val="32"/>
        </w:rPr>
        <w:t>结合本省实际，制定本规定。</w:t>
      </w:r>
    </w:p>
    <w:p>
      <w:pPr>
        <w:autoSpaceDE w:val="0"/>
        <w:autoSpaceDN w:val="0"/>
        <w:adjustRightInd w:val="0"/>
        <w:snapToGrid w:val="0"/>
        <w:spacing w:line="580" w:lineRule="exact"/>
        <w:ind w:firstLine="640"/>
        <w:rPr>
          <w:rFonts w:ascii="仿宋_GB2312"/>
          <w:szCs w:val="32"/>
        </w:rPr>
      </w:pPr>
      <w:r>
        <w:rPr>
          <w:rFonts w:hint="eastAsia" w:ascii="仿宋_GB2312"/>
          <w:szCs w:val="32"/>
        </w:rPr>
        <w:t>本规定适用于我省内河航道（包括航道整治建筑物、通航建筑物、标志标牌等航道设施，下同）、沿海人工公共航道（航标除外）以及港航管理码头、锚泊（服务）区等管理服务设施和航道用地范围内的树木、花草等绿化（以下简称“航道绿化”）的养护管理工作。</w:t>
      </w:r>
    </w:p>
    <w:p>
      <w:pPr>
        <w:autoSpaceDE w:val="0"/>
        <w:autoSpaceDN w:val="0"/>
        <w:adjustRightInd w:val="0"/>
        <w:snapToGrid w:val="0"/>
        <w:spacing w:line="580" w:lineRule="exact"/>
        <w:ind w:firstLine="640"/>
        <w:rPr>
          <w:rFonts w:ascii="仿宋_GB2312"/>
          <w:szCs w:val="32"/>
        </w:rPr>
      </w:pPr>
      <w:r>
        <w:rPr>
          <w:rFonts w:hint="eastAsia" w:ascii="仿宋_GB2312"/>
          <w:szCs w:val="32"/>
        </w:rPr>
        <w:t>航道养护管理工作坚持“管养并重</w:t>
      </w:r>
      <w:r>
        <w:rPr>
          <w:rFonts w:hint="eastAsia" w:ascii="仿宋_GB2312" w:hAnsi="黑体"/>
          <w:szCs w:val="32"/>
        </w:rPr>
        <w:t>、绿色生态</w:t>
      </w:r>
      <w:r>
        <w:rPr>
          <w:rFonts w:hint="eastAsia" w:ascii="仿宋_GB2312"/>
          <w:szCs w:val="32"/>
        </w:rPr>
        <w:t>、突出重点、分类维护、保障畅通”的原则，例行养护坚持周期性养护与预防性养护相结合，</w:t>
      </w:r>
      <w:r>
        <w:rPr>
          <w:rFonts w:hint="eastAsia" w:ascii="仿宋_GB2312" w:hAnsi="黑体"/>
          <w:szCs w:val="32"/>
        </w:rPr>
        <w:t>专项养护</w:t>
      </w:r>
      <w:r>
        <w:rPr>
          <w:rFonts w:hint="eastAsia" w:ascii="仿宋_GB2312"/>
          <w:szCs w:val="32"/>
        </w:rPr>
        <w:t>按照长远规划、分年实施的原则统筹安排。航道养护应当严格执行国家有关规定、标准，保证养护质量和作业安全。</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航道养护管理工作实行统一领导、分级管理。省交通运输厅对列入省预算的养护项目实行监督管理，负责年度预算的审核。省港航管理中心负责年度预算的编制和重点专项的设计审核，对各市养护项目进度、质量等情况进行监督检查和技术核查。设区的市港航管理机构（以下统称“市级港航管理机构”）负责本辖区内养护项目年度预算的编制、上报，组织养护项目的具体实施管理和县级港航管理机构负责实施的养护项目的监督管理，对县级港航管理机构负责实施的养护项目的监督检查每季度不得少于1次。</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各级港航管理机构应当按照辖区航道条件和航道养护实际需求合理配备养护管理装备与设施，建立健全管理制度和应急机制，制定航道应急预案。</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各级港航管理机构应当积极采用现代化管理手段和先进养护技术，大力推广和应用新技术、新材料、新工艺、新设备，不断提高航道养护质量和管理水平。</w:t>
      </w:r>
    </w:p>
    <w:p>
      <w:pPr>
        <w:adjustRightInd w:val="0"/>
        <w:snapToGrid w:val="0"/>
        <w:spacing w:line="580" w:lineRule="exact"/>
        <w:ind w:firstLine="640"/>
        <w:rPr>
          <w:rFonts w:ascii="仿宋_GB2312"/>
          <w:szCs w:val="32"/>
        </w:rPr>
      </w:pPr>
      <w:r>
        <w:rPr>
          <w:rFonts w:hint="eastAsia" w:ascii="仿宋_GB2312"/>
          <w:szCs w:val="32"/>
        </w:rPr>
        <w:t>各级港航管理机构应当加强航道例行养护和专项养护统计，及时填报《内河骨干航道例行养护工作统计表》（附件3）、《全航区其他航道例行养护工作统计表》（附件4）和《专项养护完成情况季（年）报表》（附件5）。市级港航管理机构应当在每季度末将本季度或者本年度（统计数据截止到20日）统计报表报省港航管理中心。</w:t>
      </w:r>
    </w:p>
    <w:p>
      <w:pPr>
        <w:pStyle w:val="2"/>
        <w:spacing w:line="580" w:lineRule="exact"/>
        <w:ind w:firstLine="628"/>
      </w:pPr>
      <w:r>
        <w:rPr>
          <w:rFonts w:hint="eastAsia"/>
        </w:rPr>
        <w:t>二、航道养护内容和分类</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航道养护工作主要包括：航道观测、水深监测，航道疏浚、炸礁、清障，航道整治建筑物、通航建筑物、航道标志标牌等航道设施的养护、改建，港航管理码头、锚泊服务区等管理服务设施的维修、改建、新建和航道绿化养护等工作。</w:t>
      </w:r>
    </w:p>
    <w:p>
      <w:pPr>
        <w:autoSpaceDE w:val="0"/>
        <w:autoSpaceDN w:val="0"/>
        <w:adjustRightInd w:val="0"/>
        <w:snapToGrid w:val="0"/>
        <w:spacing w:line="580" w:lineRule="exact"/>
        <w:ind w:firstLine="640"/>
        <w:rPr>
          <w:rFonts w:ascii="仿宋_GB2312"/>
          <w:szCs w:val="32"/>
        </w:rPr>
      </w:pPr>
      <w:r>
        <w:rPr>
          <w:rFonts w:hint="eastAsia" w:ascii="仿宋_GB2312"/>
          <w:szCs w:val="32"/>
        </w:rPr>
        <w:t>航道养护分为日常养护和应急抢通。日常养护包括例行养护和专项养护。例行养护是指以维持现有航道技术状况，保障航道基础设施正常运行为目的的养护，包括碍航疏浚、清障打捞、航道设施和管理服务设施维护、航道绿化养护等，分内河骨干航道例行养护和全航区其他航道例行养护。专项养护是指以提高航道技术状况和改善相关设施运行条件为目的的养护，包括规模较大的航道（单纯疏浚3万方以上）、航道设施和管理服务设施的改建、新建等。投资500万元以上的专项养护属重点专项。应急抢通是指为恢复因自然灾害或突发事件影响航道畅通而实施的应急抢修。</w:t>
      </w:r>
    </w:p>
    <w:p>
      <w:pPr>
        <w:pStyle w:val="2"/>
        <w:spacing w:line="580" w:lineRule="exact"/>
        <w:ind w:firstLine="628"/>
        <w:rPr>
          <w:strike/>
        </w:rPr>
      </w:pPr>
      <w:r>
        <w:rPr>
          <w:rFonts w:hint="eastAsia"/>
        </w:rPr>
        <w:t>三、养护预算和资金管理</w:t>
      </w:r>
    </w:p>
    <w:p>
      <w:pPr>
        <w:spacing w:line="580" w:lineRule="exact"/>
        <w:ind w:firstLine="640"/>
        <w:rPr>
          <w:rFonts w:ascii="仿宋_GB2312"/>
        </w:rPr>
      </w:pPr>
      <w:r>
        <w:rPr>
          <w:rFonts w:hint="eastAsia" w:ascii="仿宋_GB2312"/>
        </w:rPr>
        <w:t>各级</w:t>
      </w:r>
      <w:r>
        <w:rPr>
          <w:rFonts w:hint="eastAsia" w:ascii="仿宋_GB2312" w:hAnsi="黑体"/>
        </w:rPr>
        <w:t>航道主管部门</w:t>
      </w:r>
      <w:r>
        <w:rPr>
          <w:rFonts w:hint="eastAsia" w:ascii="仿宋_GB2312"/>
        </w:rPr>
        <w:t>应当积极争取各级人民政府及财政的支持，通过地方财政预算以及其他渠道保障航道养护工作的资金需要。鼓励当地政府、相关部门和有关单位共同筹资拼盘实施专项</w:t>
      </w:r>
      <w:r>
        <w:rPr>
          <w:rFonts w:hint="eastAsia" w:ascii="仿宋_GB2312" w:hAnsi="黑体"/>
        </w:rPr>
        <w:t>养护项目</w:t>
      </w:r>
      <w:r>
        <w:rPr>
          <w:rFonts w:hint="eastAsia" w:ascii="仿宋_GB2312"/>
        </w:rPr>
        <w:t>。</w:t>
      </w:r>
    </w:p>
    <w:p>
      <w:pPr>
        <w:spacing w:line="580" w:lineRule="exact"/>
        <w:ind w:firstLine="640"/>
        <w:rPr>
          <w:rFonts w:ascii="仿宋_GB2312"/>
        </w:rPr>
      </w:pPr>
      <w:r>
        <w:rPr>
          <w:rFonts w:hint="eastAsia" w:ascii="仿宋_GB2312"/>
        </w:rPr>
        <w:t>各级港航管理机构应当根据本辖区航道现状条件、航道维护范围和标准、航道养护发展需要，结合水运发展五年规划，编制航道养护发展五年规划或项目库，提出养护总体目标、工作重点、养护内容、相应保障措施和年度资金需求。</w:t>
      </w:r>
    </w:p>
    <w:p>
      <w:pPr>
        <w:spacing w:line="580" w:lineRule="exact"/>
        <w:ind w:firstLine="640"/>
        <w:rPr>
          <w:rFonts w:ascii="仿宋_GB2312"/>
        </w:rPr>
      </w:pPr>
      <w:r>
        <w:rPr>
          <w:rFonts w:hint="eastAsia" w:ascii="仿宋_GB2312"/>
        </w:rPr>
        <w:t>各级港航管理机构应当按照养护内容和资金来源编制航道养护年度预算，并按照批准的年度预算组织实施。例行养护预算资金实行与航道里程、性质、现状等级等要素相结合的定额化管理制度，年度预算按有关费率标准计算安排。市级港航管理机构应当根据例行养护省级预算细化分项用途并报省港航管理中心备案。要求列入年度预算的专项养护项目原则上应当从项目库中选取，并已委托开展设计。</w:t>
      </w:r>
    </w:p>
    <w:p>
      <w:pPr>
        <w:spacing w:line="580" w:lineRule="exact"/>
        <w:ind w:firstLine="640"/>
        <w:rPr>
          <w:rFonts w:ascii="仿宋_GB2312"/>
        </w:rPr>
      </w:pPr>
      <w:r>
        <w:rPr>
          <w:rFonts w:hint="eastAsia" w:ascii="仿宋_GB2312"/>
        </w:rPr>
        <w:t>内河航道例行养护经费实行定额化管理，</w:t>
      </w:r>
      <w:r>
        <w:rPr>
          <w:rFonts w:ascii="仿宋_GB2312"/>
        </w:rPr>
        <w:t>20</w:t>
      </w:r>
      <w:r>
        <w:rPr>
          <w:rFonts w:hint="eastAsia" w:ascii="仿宋_GB2312"/>
        </w:rPr>
        <w:t>2</w:t>
      </w:r>
      <w:r>
        <w:rPr>
          <w:rFonts w:ascii="仿宋_GB2312"/>
        </w:rPr>
        <w:t>0</w:t>
      </w:r>
      <w:r>
        <w:rPr>
          <w:rFonts w:hint="eastAsia" w:ascii="仿宋_GB2312"/>
        </w:rPr>
        <w:t xml:space="preserve">年（基准年）限制性骨干航道、天然骨干航道、五级航道、六级和七级航道、等外航道例行养护直接工程费基准费率分别为36000元/公里、16000元/公里、8000元/公里、4000元/公里、2000元/公里。港航管理机构应当根据国家公布的年物价指数对内河航道例行养护直接工程费率进行年度调整。 </w:t>
      </w:r>
    </w:p>
    <w:p>
      <w:pPr>
        <w:spacing w:line="580" w:lineRule="exact"/>
        <w:ind w:firstLine="640"/>
        <w:rPr>
          <w:rFonts w:ascii="仿宋_GB2312"/>
        </w:rPr>
      </w:pPr>
      <w:r>
        <w:rPr>
          <w:rFonts w:hint="eastAsia" w:ascii="仿宋_GB2312"/>
        </w:rPr>
        <w:t>根据内河限制性骨干航道建设标准、使用年限等不同，对其例行养护直接工程费率设置调整系数，即某一限制性骨干航道直接工程费率＝基准费率×年限系数×等级系数。年限系数：竣工验收后1-10年，系数分别为0.6-1.5，每年增加0.1；10年后系数均为1.5。等级系数：四级航道为1.0，三级及以上航道为1.2。</w:t>
      </w:r>
    </w:p>
    <w:p>
      <w:pPr>
        <w:spacing w:line="580" w:lineRule="exact"/>
        <w:ind w:firstLine="640"/>
        <w:rPr>
          <w:rFonts w:ascii="仿宋_GB2312"/>
        </w:rPr>
      </w:pPr>
      <w:r>
        <w:rPr>
          <w:rFonts w:hint="eastAsia" w:ascii="仿宋_GB2312"/>
        </w:rPr>
        <w:t>各级航道主管部门应当加强与当地财政部门的衔接，确保航道养护资金财政转移支付及时到位。航道养护资金应当按照有关财务制度的规定，实行专款专用，严禁挤占或者挪用。养护项目完成后应当按照有关财务制度的规定及时做好审计和绩效评价工作。</w:t>
      </w:r>
    </w:p>
    <w:p>
      <w:pPr>
        <w:pStyle w:val="2"/>
        <w:spacing w:line="580" w:lineRule="exact"/>
        <w:ind w:firstLine="628"/>
      </w:pPr>
      <w:r>
        <w:rPr>
          <w:rFonts w:hint="eastAsia"/>
        </w:rPr>
        <w:t>四、例行养护</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市级港航管理机构应当按照国家现行标准的规定，结合航道现状条件和航运发展需求，合理论证确定航道维护范围和标准，并按交通运输部《航道养护管理规定》的要求经报批后向社会公布。航道维护范围和标准需要变更的，应当经过重新论证，并按照原批准程序履行报批手续。航道维护标准包括航道维护类别、维护尺度及航道维护水深年保证率、航标配布类别、航标维护正常率、通航建筑物年通航时间保证率等。</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各级港航管理机构应当根据航道维护范围和标准，按照相关养护技术规范要求，组织实施航道例行养护，确保航道畅通和航道设施、管理服务设施的完好。骨干航道例行养护管理原则上由市级港航管理机构负责，其他航道例行养护管理原则上由县级港航管理机构负责。例行养护应当通过招标投标方式或政府采购选择养护作业单位，合同段可按航道或者航区捆绑方式划分，合同期可为1至3年。航道例行养护作业可以委托市级港航管理机构所属的专门的航道养护管理单位实施，但是主要养护内容航道疏浚和护岸整体修复项目应当通过招标投标方式选择养护作业单位。</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各级港航管理机构应当加强航道综合巡查，骨干航道全线养护巡查每月不少于2次，其他航道全线养护巡查每年不少于2次，并且按照航次填写《航道巡查现场记录表》（附件1）。如发现缺陷，应当在次日填写《航道养护联系单》（附件2）并附相关图片，按照有关规定程序报告相关业务部门。</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各级港航管理机构应当加强内河骨干航道水下断面监测，建立内河骨干航道水下断面监测制度。杭嘉湖等地区的内河骨干航道每2年进行一次水下全断面扫测。其他内河骨干航道一般每2公里设立一个固定测量断面，每年进行一次断面测量，每3-5年进行一次水下全断面扫测，在粉沙底质和较易淤积等条件复杂航段以及水灾、干旱等特殊时期，应当加密测量断面和测量频率。测量外业完成后，应对数据及时整理、审核、与上次成果进行对比分析，形成书面报告并归档。</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各级港航管理机构应当建立水位测报公告和船舶流量观测制度。内河骨干航道沿线管理站点应当设置水位尺或者通过电子信息公告水位。根据航道布局和船舶流量情况，在内河骨干航道的适当位置设立船舶流量观测点，按照船舶流量观测的有关要求，健全制度、完善记录、按时上报。</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内河骨干航道竣工断面底宽范围内平均淤高10厘米以上、航道两侧坡脚前5米范围内平均淤高30厘米以上，并且淤积连续长度达到1公里以上时，应当安排养护疏浚作业。市级港航管理机构应当及时确认并通知养护作业单位在1个月内完成疏浚作业。因为自然灾害造成骨干航道淤积影响航道正常通航的，应当安排应急疏浚并在48小时内进场施工。对粉沙土等特殊地质条件的航道，坡脚疏浚应当进行技术论证。</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内河骨干航道沿线护岸等整治建筑物破损、应急系缆桩损毁、港航管理码头和锚泊服务区等设施破损，应当及时安排修复；也可以根据需修复的工程量和分布情况，集中安排养护，但至少6个月安排一次集中修复。发现护岸等整治建筑物、港航管理码头因前沿掏空等原因而大量坍塌或者有大量坍塌趋势时，市级港航管理机构在接到养护联系单后应当立即通知养护作业单位在7天内进场施工，采取应急养护措施。</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内河骨干航道沿线航标等助航设施应当及时养护与完善。发光航标不能正常发光、浮标灭失或者移位的，应当立即组织更换修复;其他航标及标志、标牌被盗、损毁、倾斜等，应当在1个月内组织整改完成。宣传标牌应当保持版面完整清晰并适时更换内容。</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地方海事辖区的内河骨干航道内发现无主碍航物时应当当场设立标志，所在地海事管理机构应当组织清除，影响通航条件的在48小时内完成清除，其他的在7天内完成清除。</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内河航道沿线绿化应当保证存活率，按要求做好补植、修剪、除草、病虫害防治、冬季养护、灌溉施肥及其他日常养护工作。遮挡标志标牌视线的应当及时修剪或移植，倾倒的应当及时扶正。</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内河骨干航道上的通航建筑物及其引航道、口门区、连接段由通航建筑物运行单位按照《通航建筑物运行管理办法》等有关法规、标准规定负责养护管理，做到科学管理、合理使用、计划修理，保持设施和设备正常运转。</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经批准允许顺岸停靠船舶的码头业主应当负责停靠界限内及船舶进出影响范围内的护岸修复、港池疏浚、绿化养护和专设航标养护。各级港航管理机构应当与码头业主签订养护责任书，将养护责任落到实处。</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市级港航管理机构应当按照《内河航道维护技术规范》和相关技术规范组织实施例行养护项目</w:t>
      </w:r>
      <w:r>
        <w:rPr>
          <w:rFonts w:ascii="仿宋_GB2312"/>
          <w:szCs w:val="32"/>
        </w:rPr>
        <w:t>，</w:t>
      </w:r>
      <w:r>
        <w:rPr>
          <w:rFonts w:hint="eastAsia" w:ascii="仿宋_GB2312"/>
          <w:szCs w:val="32"/>
        </w:rPr>
        <w:t>加强内河航道例行养护项目质量管理和养护作业安全管理。骨干航道例行养护项目可推行社会监理制度。例行养护项目质量应当符合国家有关技术规范和设计或者原有设计要求。护岸和港航管理码头等结构物修复应当做到基础和砌体牢固、勾缝密实、压顶平顺。</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养护作业单位应当建立完善的内部质量保证体系，严格按技术规范和操作规程施工，强化质量自检，做好质量检查记录。例行养护项目分项或者分阶段完成后，养护作业单位应当及时申请交接验收，有关港航管理机构应当对完成的项目数量和质量进行核实并签署有关验收单。</w:t>
      </w:r>
    </w:p>
    <w:p>
      <w:pPr>
        <w:autoSpaceDE w:val="0"/>
        <w:autoSpaceDN w:val="0"/>
        <w:adjustRightInd w:val="0"/>
        <w:snapToGrid w:val="0"/>
        <w:spacing w:line="580" w:lineRule="exact"/>
        <w:ind w:firstLine="640"/>
        <w:rPr>
          <w:rFonts w:ascii="仿宋_GB2312"/>
          <w:szCs w:val="32"/>
        </w:rPr>
      </w:pPr>
      <w:r>
        <w:rPr>
          <w:rFonts w:hint="eastAsia" w:ascii="仿宋_GB2312"/>
          <w:szCs w:val="32"/>
        </w:rPr>
        <w:t>航道通航状况改变或者航道实际尺度临时不能达到维护尺度时，各级港航管理机构应当及时发布航道通告，海事管理机构应当相应发布航行通告或者航行警告。各级港航管理机构应当采取措施尽快恢复航道的通航维护尺度。</w:t>
      </w:r>
    </w:p>
    <w:p>
      <w:pPr>
        <w:pStyle w:val="2"/>
        <w:spacing w:line="580" w:lineRule="exact"/>
        <w:ind w:firstLine="628"/>
      </w:pPr>
      <w:r>
        <w:rPr>
          <w:rFonts w:hint="eastAsia"/>
        </w:rPr>
        <w:t>五、专项养护</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专项养护项目由市级港航管理机构根据所在地点、项目规模和性质确定由市级或者县级港航管理机构组织实施，或者委托市级港航管理机构所属的专门的航道养护管理单位组织实施。委托其他单位组织实施的，应当签订委托建设协议，明确相关职责和要求并加强监督管理。</w:t>
      </w:r>
    </w:p>
    <w:p>
      <w:pPr>
        <w:autoSpaceDE w:val="0"/>
        <w:autoSpaceDN w:val="0"/>
        <w:adjustRightInd w:val="0"/>
        <w:snapToGrid w:val="0"/>
        <w:spacing w:line="580" w:lineRule="exact"/>
        <w:ind w:firstLine="640"/>
        <w:rPr>
          <w:rFonts w:ascii="仿宋_GB2312"/>
          <w:szCs w:val="32"/>
        </w:rPr>
      </w:pPr>
      <w:r>
        <w:rPr>
          <w:rFonts w:hint="eastAsia" w:ascii="仿宋_GB2312"/>
          <w:szCs w:val="32"/>
        </w:rPr>
        <w:t>专项养护项目应当委托具有相应资质的设计单位按设计规范及要求进行设计。项目设计文件应当包括设计依据、实施必要性及可行性、技术方案和图纸、概（预）算、进度安排、政策处理等内容。专项养护项目规模较大或者技术较复杂的，可分初步设计和施工图设计两阶段。</w:t>
      </w:r>
    </w:p>
    <w:p>
      <w:pPr>
        <w:adjustRightInd w:val="0"/>
        <w:snapToGrid w:val="0"/>
        <w:spacing w:line="580" w:lineRule="exact"/>
        <w:ind w:firstLine="640"/>
        <w:rPr>
          <w:rFonts w:ascii="仿宋_GB2312"/>
          <w:szCs w:val="32"/>
        </w:rPr>
      </w:pPr>
      <w:r>
        <w:rPr>
          <w:rFonts w:hint="eastAsia" w:ascii="仿宋_GB2312"/>
          <w:szCs w:val="32"/>
        </w:rPr>
        <w:t>重点专项养护项目的设计由省港航管理中心审核，其余专项养护项目的设计由市级航道主管部门</w:t>
      </w:r>
      <w:r>
        <w:rPr>
          <w:rFonts w:ascii="仿宋_GB2312"/>
          <w:szCs w:val="32"/>
        </w:rPr>
        <w:t>或</w:t>
      </w:r>
      <w:r>
        <w:rPr>
          <w:rFonts w:hint="eastAsia" w:ascii="仿宋_GB2312"/>
          <w:szCs w:val="32"/>
        </w:rPr>
        <w:t>港航管理机构审核。设计审查时应当邀请当地航道主管部门、港航管理机构、交通工程管理机构和有关乡镇政府等单位的代表参加，投资规模较大、技术较复杂的专项养护项目可以邀请专家参加。设计批复应当明确</w:t>
      </w:r>
      <w:r>
        <w:rPr>
          <w:rFonts w:ascii="仿宋_GB2312"/>
          <w:szCs w:val="32"/>
        </w:rPr>
        <w:t>实施</w:t>
      </w:r>
      <w:r>
        <w:rPr>
          <w:rFonts w:hint="eastAsia" w:ascii="仿宋_GB2312"/>
          <w:szCs w:val="32"/>
        </w:rPr>
        <w:t>的必要性、规模标准和主要内容、平面布置和结构型式等主要技术参数、概（预）算以及其他有关要求。</w:t>
      </w:r>
    </w:p>
    <w:p>
      <w:pPr>
        <w:adjustRightInd w:val="0"/>
        <w:snapToGrid w:val="0"/>
        <w:spacing w:line="580" w:lineRule="exact"/>
        <w:ind w:firstLine="640"/>
        <w:rPr>
          <w:rFonts w:ascii="仿宋_GB2312"/>
          <w:szCs w:val="32"/>
        </w:rPr>
      </w:pPr>
      <w:r>
        <w:rPr>
          <w:rFonts w:hint="eastAsia" w:ascii="仿宋_GB2312"/>
          <w:szCs w:val="32"/>
        </w:rPr>
        <w:t>专项养护项目必须按批准的概（预）算和标准、规模、内容组织实施。各级港航管理机构应当制定项目变更管理程序，落实设计、施工、监理和项目单位各方签字审核要求，加强项目变更管理。变更超过批准概算10%或建设规模和方案发生重大变化的，应当报原审批单位办理变更设计批复。</w:t>
      </w:r>
    </w:p>
    <w:p>
      <w:pPr>
        <w:adjustRightInd w:val="0"/>
        <w:snapToGrid w:val="0"/>
        <w:spacing w:line="580" w:lineRule="exact"/>
        <w:ind w:firstLine="640"/>
        <w:rPr>
          <w:rFonts w:ascii="仿宋_GB2312"/>
          <w:szCs w:val="32"/>
        </w:rPr>
      </w:pPr>
      <w:r>
        <w:rPr>
          <w:rFonts w:hint="eastAsia" w:ascii="仿宋_GB2312"/>
          <w:szCs w:val="32"/>
        </w:rPr>
        <w:t>投资在50万元以上的专项养护项目，应当参照基建程序实行招标投标或者执行地方政府采购程序，择优选择具有相应资质的施工单位。一般应当采取公开招标方式。县级港航管理机构组织招标的，其行政监督管理由市级港航管理机构或同级</w:t>
      </w:r>
      <w:r>
        <w:rPr>
          <w:rFonts w:ascii="仿宋_GB2312"/>
          <w:szCs w:val="32"/>
        </w:rPr>
        <w:t>航道</w:t>
      </w:r>
      <w:r>
        <w:rPr>
          <w:rFonts w:hint="eastAsia" w:ascii="仿宋_GB2312"/>
          <w:szCs w:val="32"/>
        </w:rPr>
        <w:t>主管</w:t>
      </w:r>
      <w:r>
        <w:rPr>
          <w:rFonts w:ascii="仿宋_GB2312"/>
          <w:szCs w:val="32"/>
        </w:rPr>
        <w:t>部门</w:t>
      </w:r>
      <w:r>
        <w:rPr>
          <w:rFonts w:hint="eastAsia" w:ascii="仿宋_GB2312"/>
          <w:szCs w:val="32"/>
        </w:rPr>
        <w:t>负责；市级港航管理机构组织招标的，其行政监督管理由</w:t>
      </w:r>
      <w:r>
        <w:rPr>
          <w:rFonts w:ascii="仿宋_GB2312"/>
          <w:szCs w:val="32"/>
        </w:rPr>
        <w:t>同级航道</w:t>
      </w:r>
      <w:r>
        <w:rPr>
          <w:rFonts w:hint="eastAsia" w:ascii="仿宋_GB2312"/>
          <w:szCs w:val="32"/>
        </w:rPr>
        <w:t>主管</w:t>
      </w:r>
      <w:r>
        <w:rPr>
          <w:rFonts w:ascii="仿宋_GB2312"/>
          <w:szCs w:val="32"/>
        </w:rPr>
        <w:t>部门</w:t>
      </w:r>
      <w:r>
        <w:rPr>
          <w:rFonts w:hint="eastAsia" w:ascii="仿宋_GB2312"/>
          <w:szCs w:val="32"/>
        </w:rPr>
        <w:t>负责。</w:t>
      </w:r>
    </w:p>
    <w:p>
      <w:pPr>
        <w:adjustRightInd w:val="0"/>
        <w:snapToGrid w:val="0"/>
        <w:spacing w:line="580" w:lineRule="exact"/>
        <w:ind w:firstLine="640"/>
        <w:rPr>
          <w:rFonts w:ascii="仿宋_GB2312"/>
          <w:szCs w:val="32"/>
        </w:rPr>
      </w:pPr>
      <w:r>
        <w:rPr>
          <w:rFonts w:hint="eastAsia" w:ascii="仿宋_GB2312"/>
          <w:szCs w:val="32"/>
        </w:rPr>
        <w:t>专项养护项目必须坚持“质量第一”的方针，建立“政府监督、法人管理、社会监理、企业自检”的四级质量保证体系。项目单位对专项养护项目的质量和安全生产负全面管理责任。勘察设计、施工、监理、试验检测等单位分别承担相应的质量和安全生产责任。施工单位应当建立完善的内部质量保证体系，严格按技术规范和操作规程施工，强化质量自检，实行工序交验制度，做好质量检查记录。各种原始记录严禁涂改或伪造。</w:t>
      </w:r>
    </w:p>
    <w:p>
      <w:pPr>
        <w:adjustRightInd w:val="0"/>
        <w:snapToGrid w:val="0"/>
        <w:spacing w:line="580" w:lineRule="exact"/>
        <w:ind w:firstLine="640"/>
        <w:rPr>
          <w:rFonts w:ascii="仿宋_GB2312"/>
          <w:szCs w:val="32"/>
        </w:rPr>
      </w:pPr>
      <w:r>
        <w:rPr>
          <w:rFonts w:hint="eastAsia" w:ascii="仿宋_GB2312"/>
          <w:szCs w:val="32"/>
        </w:rPr>
        <w:t>专项养护项目应当参照省交通运输厅有关工程监理管理规定委托具有相应资质的监理单位进行工程监理,参照省交通运输厅有关工程质量监督管理规定向交通工程管理机构办理质量监督手续并委托试验检测单位检测。</w:t>
      </w:r>
    </w:p>
    <w:p>
      <w:pPr>
        <w:adjustRightInd w:val="0"/>
        <w:snapToGrid w:val="0"/>
        <w:spacing w:line="580" w:lineRule="exact"/>
        <w:ind w:firstLine="640"/>
        <w:rPr>
          <w:rFonts w:ascii="仿宋_GB2312"/>
          <w:szCs w:val="32"/>
        </w:rPr>
      </w:pPr>
      <w:r>
        <w:rPr>
          <w:rFonts w:hint="eastAsia" w:ascii="仿宋_GB2312"/>
          <w:szCs w:val="32"/>
        </w:rPr>
        <w:t>专项养护项目应当建立合同管理制度。项目单位应当依照有关法律、法规、规章的规定和相关工程技术标准的要求，分别与勘察设计、施工、监理、试验检测等单位签订相应合同，包括质量合同、安全生产合同和廉政保障合同，明确各方权利和义务。</w:t>
      </w:r>
    </w:p>
    <w:p>
      <w:pPr>
        <w:adjustRightInd w:val="0"/>
        <w:snapToGrid w:val="0"/>
        <w:spacing w:line="580" w:lineRule="exact"/>
        <w:ind w:firstLine="640"/>
        <w:rPr>
          <w:rFonts w:ascii="仿宋_GB2312"/>
          <w:szCs w:val="32"/>
        </w:rPr>
      </w:pPr>
      <w:r>
        <w:rPr>
          <w:rFonts w:hint="eastAsia" w:ascii="仿宋_GB2312"/>
          <w:szCs w:val="32"/>
        </w:rPr>
        <w:t>专项养护项目竣工验收应当具备以下条件：1</w:t>
      </w:r>
      <w:r>
        <w:rPr>
          <w:rFonts w:ascii="仿宋_GB2312"/>
          <w:szCs w:val="32"/>
        </w:rPr>
        <w:t>.</w:t>
      </w:r>
      <w:r>
        <w:rPr>
          <w:rFonts w:hint="eastAsia" w:ascii="仿宋_GB2312"/>
          <w:szCs w:val="32"/>
        </w:rPr>
        <w:t>已按照批准的项目设计和有关合同约定的各项内容建设完成；2</w:t>
      </w:r>
      <w:r>
        <w:rPr>
          <w:rFonts w:ascii="仿宋_GB2312"/>
          <w:szCs w:val="32"/>
        </w:rPr>
        <w:t>.</w:t>
      </w:r>
      <w:r>
        <w:rPr>
          <w:rFonts w:hint="eastAsia" w:ascii="仿宋_GB2312"/>
          <w:szCs w:val="32"/>
        </w:rPr>
        <w:t>已组织开展质量评定，并通过交通工程管理机构备案，主要技术参数达到设计要求；3</w:t>
      </w:r>
      <w:r>
        <w:rPr>
          <w:rFonts w:ascii="仿宋_GB2312"/>
          <w:szCs w:val="32"/>
        </w:rPr>
        <w:t>.</w:t>
      </w:r>
      <w:r>
        <w:rPr>
          <w:rFonts w:hint="eastAsia" w:ascii="仿宋_GB2312"/>
          <w:szCs w:val="32"/>
        </w:rPr>
        <w:t>竣工档案资料齐全；4</w:t>
      </w:r>
      <w:r>
        <w:rPr>
          <w:rFonts w:ascii="仿宋_GB2312"/>
          <w:szCs w:val="32"/>
        </w:rPr>
        <w:t>.</w:t>
      </w:r>
      <w:r>
        <w:rPr>
          <w:rFonts w:hint="eastAsia" w:ascii="仿宋_GB2312"/>
          <w:szCs w:val="32"/>
        </w:rPr>
        <w:t>竣工决算报告已编制完成，按照国家有关规定需要审计的，已完成审计。</w:t>
      </w:r>
    </w:p>
    <w:p>
      <w:pPr>
        <w:adjustRightInd w:val="0"/>
        <w:snapToGrid w:val="0"/>
        <w:spacing w:line="580" w:lineRule="exact"/>
        <w:ind w:firstLine="640"/>
        <w:rPr>
          <w:rFonts w:ascii="仿宋_GB2312"/>
          <w:szCs w:val="32"/>
        </w:rPr>
      </w:pPr>
      <w:r>
        <w:rPr>
          <w:rFonts w:hint="eastAsia" w:ascii="仿宋_GB2312"/>
          <w:szCs w:val="32"/>
        </w:rPr>
        <w:t>航道专项养护项目完工后，项目单位应及时组织竣工验收，项目设计、施工、监理、接养等单位人员应当参加现场核查。项目竣工验收应当成立竣工验收现场核查组对项目进行现场核查。竣工验收现场核查组应当由航道主管部门、交通工程管理机构、项目单位人员和专家组成，核查组成员应当为5人以上单数，其中专家不少于2个，竣工验收现场核查组组长由专家担任。竣工验收专家应当具有一定的水运工程建设和管理经验，具备良好的职业道德，具有高级专业技术职称，且不得与项目单位以及勘察、设计、施工、监理、试验检测等单位有直接利害关系。</w:t>
      </w:r>
    </w:p>
    <w:p>
      <w:pPr>
        <w:adjustRightInd w:val="0"/>
        <w:snapToGrid w:val="0"/>
        <w:spacing w:line="580" w:lineRule="exact"/>
        <w:ind w:firstLine="640"/>
        <w:rPr>
          <w:rFonts w:ascii="仿宋_GB2312"/>
          <w:szCs w:val="32"/>
        </w:rPr>
      </w:pPr>
      <w:r>
        <w:rPr>
          <w:rFonts w:hint="eastAsia" w:ascii="仿宋_GB2312"/>
          <w:szCs w:val="32"/>
        </w:rPr>
        <w:t>竣工验收现场核查组应当对照航道项目竣工验收主要内容，客观公正、实事求是地对项目进行现场核查，形成竣工验收现场核查报告（附件6），明确作出竣工验收合格或者不合格的结论。核查组成员对竣工验收结论有不同意见的，应当以书面形式说明其不同意见和理由，核查组组长应当组织全体成员对不同意见进行研究，提出竣工验收是否合格的结论。竣工验收现场核查组成员拒绝在核查报告上签字，又不书面说明其不同意见和理由的，视为同意核查结论。</w:t>
      </w:r>
    </w:p>
    <w:p>
      <w:pPr>
        <w:adjustRightInd w:val="0"/>
        <w:snapToGrid w:val="0"/>
        <w:spacing w:line="580" w:lineRule="exact"/>
        <w:ind w:firstLine="640"/>
        <w:rPr>
          <w:rFonts w:ascii="仿宋_GB2312"/>
          <w:szCs w:val="32"/>
        </w:rPr>
      </w:pPr>
      <w:r>
        <w:rPr>
          <w:rFonts w:hint="eastAsia" w:ascii="仿宋_GB2312"/>
          <w:szCs w:val="32"/>
        </w:rPr>
        <w:t>竣工验收合格的，项目单位应于竣工验收合格之日起15日内，将修改完善的竣工验收报告（附件7）和现场核查报告报送市级航道主管部门或港航管理机构，重点专项的报告同时报送省港航管理中心。竣工验收现场核查报告明确竣工验收合格但提出整改要求的，项目单位应当进行整改，将整改情况形成书面材料报送相应的航道主管部门；竣工验收现场核查报告明确竣工验收不合格的，项目单位整改后应当重新组织竣工验收。</w:t>
      </w:r>
    </w:p>
    <w:p>
      <w:pPr>
        <w:adjustRightInd w:val="0"/>
        <w:snapToGrid w:val="0"/>
        <w:spacing w:line="580" w:lineRule="exact"/>
        <w:ind w:firstLine="640"/>
        <w:rPr>
          <w:rFonts w:ascii="仿宋_GB2312"/>
          <w:szCs w:val="32"/>
        </w:rPr>
      </w:pPr>
      <w:r>
        <w:rPr>
          <w:rFonts w:hint="eastAsia" w:ascii="仿宋_GB2312"/>
          <w:szCs w:val="32"/>
        </w:rPr>
        <w:t>专项养护项目竣工资料应当完整、准确、系统，符合归档要求，原件由使用（管理）单位保存。</w:t>
      </w:r>
    </w:p>
    <w:p>
      <w:pPr>
        <w:adjustRightInd w:val="0"/>
        <w:snapToGrid w:val="0"/>
        <w:spacing w:line="580" w:lineRule="exact"/>
        <w:ind w:firstLine="640"/>
        <w:rPr>
          <w:rFonts w:ascii="仿宋_GB2312"/>
          <w:szCs w:val="32"/>
        </w:rPr>
      </w:pPr>
      <w:r>
        <w:rPr>
          <w:rFonts w:hint="eastAsia" w:ascii="仿宋_GB2312"/>
          <w:szCs w:val="32"/>
        </w:rPr>
        <w:t>竣工资料应当包括以下主要内容：1</w:t>
      </w:r>
      <w:r>
        <w:rPr>
          <w:rFonts w:ascii="仿宋_GB2312"/>
          <w:szCs w:val="32"/>
        </w:rPr>
        <w:t>.</w:t>
      </w:r>
      <w:r>
        <w:rPr>
          <w:rFonts w:hint="eastAsia" w:ascii="仿宋_GB2312"/>
          <w:szCs w:val="32"/>
        </w:rPr>
        <w:t>建设管理资料，包括设计和有关变更文件及批复，有关合同、协议和招标投标文件等；2</w:t>
      </w:r>
      <w:r>
        <w:rPr>
          <w:rFonts w:ascii="仿宋_GB2312"/>
          <w:szCs w:val="32"/>
        </w:rPr>
        <w:t>.</w:t>
      </w:r>
      <w:r>
        <w:rPr>
          <w:rFonts w:hint="eastAsia" w:ascii="仿宋_GB2312"/>
          <w:szCs w:val="32"/>
        </w:rPr>
        <w:t>项目技术资料，包括施工单位的施工原始记录、检测记录、施工结算、竣工图，监理单位的监理工作计划、旁站巡视和平行试验检测记录，其他项目技术资料等；3</w:t>
      </w:r>
      <w:r>
        <w:rPr>
          <w:rFonts w:ascii="仿宋_GB2312"/>
          <w:szCs w:val="32"/>
        </w:rPr>
        <w:t>.</w:t>
      </w:r>
      <w:r>
        <w:rPr>
          <w:rFonts w:hint="eastAsia" w:ascii="仿宋_GB2312"/>
          <w:szCs w:val="32"/>
        </w:rPr>
        <w:t>项目竣工验收报告（附件7），包括建设、设计、施工、监理总结报告，质量监督机构的备案意见或者试验检测单位的质量检测报告，竣工决算（含结算审核报告、竣工财务决算），施工照片等。</w:t>
      </w:r>
    </w:p>
    <w:p>
      <w:pPr>
        <w:pStyle w:val="2"/>
        <w:spacing w:line="580" w:lineRule="exact"/>
        <w:ind w:firstLine="628"/>
      </w:pPr>
      <w:r>
        <w:rPr>
          <w:rFonts w:hint="eastAsia"/>
        </w:rPr>
        <w:t>六、应急抢通</w:t>
      </w:r>
    </w:p>
    <w:p>
      <w:pPr>
        <w:autoSpaceDE w:val="0"/>
        <w:autoSpaceDN w:val="0"/>
        <w:adjustRightInd w:val="0"/>
        <w:snapToGrid w:val="0"/>
        <w:spacing w:line="580" w:lineRule="exact"/>
        <w:ind w:firstLine="640"/>
        <w:rPr>
          <w:rFonts w:ascii="仿宋_GB2312"/>
          <w:szCs w:val="32"/>
        </w:rPr>
      </w:pPr>
      <w:r>
        <w:rPr>
          <w:rFonts w:hint="eastAsia" w:ascii="仿宋_GB2312"/>
          <w:szCs w:val="32"/>
        </w:rPr>
        <w:t>发生重大及以上航道突发事件、特殊水情（通航水位超过设计最高通航水位或者低于设计最低通航水位）、地震和山体滑坡等自然灾害引起的航道灾情、航道养护作业过程中发生沉船或者人员伤亡事故、以及与航道有关的其他性质严重的突发事件等航道应急事项，应当按照交通运输部《航道应急事项报告管理办法》要求及时上报。</w:t>
      </w:r>
    </w:p>
    <w:p>
      <w:pPr>
        <w:autoSpaceDE w:val="0"/>
        <w:autoSpaceDN w:val="0"/>
        <w:adjustRightInd w:val="0"/>
        <w:snapToGrid w:val="0"/>
        <w:spacing w:line="580" w:lineRule="exact"/>
        <w:ind w:firstLine="640"/>
        <w:rPr>
          <w:rFonts w:ascii="仿宋_GB2312"/>
          <w:szCs w:val="32"/>
        </w:rPr>
      </w:pPr>
      <w:r>
        <w:rPr>
          <w:rFonts w:hint="eastAsia" w:ascii="仿宋_GB2312"/>
          <w:szCs w:val="32"/>
        </w:rPr>
        <w:t>各级港航管理机构在发现或接到航道应急事项报告后，应根据事件紧急情况采取相应控制措施，并在2小时内上报当地航道主管部门和上级港航管理机构；发生一次死亡（失踪）3人及以上，或者一次死亡重伤人数合计10人及以上，或者直接经济损失100万及以上的航道养护项目安全或质量事故的，各单位均可直接向省交通运输厅安全管理部门报告，同时抄送省港航管理中心和其他相关单位。需向交通运输部水运局报送的航道应急事项报告，由省港航管理中心负责。</w:t>
      </w:r>
    </w:p>
    <w:p>
      <w:pPr>
        <w:autoSpaceDE w:val="0"/>
        <w:autoSpaceDN w:val="0"/>
        <w:adjustRightInd w:val="0"/>
        <w:snapToGrid w:val="0"/>
        <w:spacing w:line="580" w:lineRule="exact"/>
        <w:ind w:firstLine="640"/>
        <w:rPr>
          <w:rFonts w:ascii="仿宋_GB2312"/>
          <w:szCs w:val="32"/>
        </w:rPr>
      </w:pPr>
      <w:r>
        <w:rPr>
          <w:rFonts w:hint="eastAsia" w:ascii="仿宋_GB2312"/>
          <w:szCs w:val="32"/>
        </w:rPr>
        <w:t>对因台风、暴雨、洪水、干旱等自然灾害或者突发事件造成的航道及相关设施损坏和发生碍航、断航事件，辖区港航管理机构应当按照管理职责和应急预案组织实施应急抢修保通。</w:t>
      </w:r>
    </w:p>
    <w:p>
      <w:pPr>
        <w:adjustRightInd w:val="0"/>
        <w:snapToGrid w:val="0"/>
        <w:spacing w:line="580" w:lineRule="exact"/>
        <w:ind w:firstLine="640"/>
        <w:rPr>
          <w:rFonts w:ascii="仿宋_GB2312"/>
          <w:szCs w:val="32"/>
        </w:rPr>
      </w:pPr>
      <w:r>
        <w:rPr>
          <w:rFonts w:hint="eastAsia" w:ascii="仿宋_GB2312"/>
          <w:szCs w:val="32"/>
        </w:rPr>
        <w:t>各级港航管理机构应当保留航道应急抢通项目的相关影像、文字、图纸等资料，并由市港航管理机构按照财政部和交通运输部《内河航道应急抢通补助资金管理办法》规定的内容和格式要求，</w:t>
      </w:r>
      <w:r>
        <w:rPr>
          <w:rFonts w:ascii="仿宋_GB2312"/>
          <w:szCs w:val="32"/>
        </w:rPr>
        <w:t>在规定时间内</w:t>
      </w:r>
      <w:r>
        <w:rPr>
          <w:rFonts w:hint="eastAsia" w:ascii="仿宋_GB2312"/>
          <w:szCs w:val="32"/>
        </w:rPr>
        <w:t>会同同级财政主管部门联合向省交通运输厅报送资金补助申请材料，同时向省港航管理中心报送申请材料电子版。经省港航管理中心初步审查、整理汇总，报省交通运输厅审核同意后，上报交通运输部。</w:t>
      </w:r>
    </w:p>
    <w:p>
      <w:pPr>
        <w:pStyle w:val="2"/>
        <w:spacing w:line="580" w:lineRule="exact"/>
        <w:ind w:firstLine="628"/>
      </w:pPr>
      <w:r>
        <w:rPr>
          <w:rFonts w:hint="eastAsia"/>
        </w:rPr>
        <w:t>七、技术</w:t>
      </w:r>
      <w:r>
        <w:rPr>
          <w:rFonts w:hint="eastAsia" w:ascii="黑体" w:hAnsi="黑体"/>
          <w:szCs w:val="32"/>
        </w:rPr>
        <w:t>核查</w:t>
      </w:r>
    </w:p>
    <w:p>
      <w:pPr>
        <w:autoSpaceDE w:val="0"/>
        <w:autoSpaceDN w:val="0"/>
        <w:adjustRightInd w:val="0"/>
        <w:snapToGrid w:val="0"/>
        <w:spacing w:line="580" w:lineRule="exact"/>
        <w:ind w:firstLine="616" w:firstLineChars="196"/>
        <w:rPr>
          <w:rFonts w:ascii="仿宋_GB2312"/>
          <w:szCs w:val="32"/>
        </w:rPr>
      </w:pPr>
      <w:r>
        <w:rPr>
          <w:rFonts w:hint="eastAsia" w:ascii="仿宋_GB2312"/>
          <w:szCs w:val="32"/>
        </w:rPr>
        <w:t xml:space="preserve">航道养护工作应当按照交通运输部《航道养护管理规定》要求进行年度技术核查，并实行分级管理，分类核查。技术核查等级分为优良、合格和不合格。圆满完成养护年度预算80%以上且工作质量良好的，核查等级为优良；完成养护年度预算60%以上且工作质量符合要求的，核查等级为合格；未完成养护年度预算的60%或者工作质量不符合要求的，核查等级为不合格。对年度技术核查不合格的单位，应当责令限期整改，并将扣减次年养护预算额度。 </w:t>
      </w:r>
    </w:p>
    <w:p>
      <w:pPr>
        <w:autoSpaceDE w:val="0"/>
        <w:autoSpaceDN w:val="0"/>
        <w:adjustRightInd w:val="0"/>
        <w:snapToGrid w:val="0"/>
        <w:spacing w:line="580" w:lineRule="exact"/>
        <w:ind w:firstLine="640"/>
        <w:rPr>
          <w:rFonts w:ascii="仿宋_GB2312"/>
          <w:szCs w:val="32"/>
        </w:rPr>
      </w:pPr>
      <w:r>
        <w:rPr>
          <w:rFonts w:hint="eastAsia" w:ascii="仿宋_GB2312"/>
          <w:szCs w:val="32"/>
        </w:rPr>
        <w:t>养护技术核查工作按照辖区港航管理机构自查自评、上级港航管理机构抽查方式进行。抽查时应当听取自查情况汇报及相关用户的意见，查看现场，查阅有关档案、文件资料，综合考评打分，并提出整改意见。</w:t>
      </w:r>
    </w:p>
    <w:p>
      <w:pPr>
        <w:autoSpaceDE w:val="0"/>
        <w:autoSpaceDN w:val="0"/>
        <w:adjustRightInd w:val="0"/>
        <w:snapToGrid w:val="0"/>
        <w:spacing w:line="580" w:lineRule="exact"/>
        <w:ind w:firstLine="640"/>
        <w:rPr>
          <w:rFonts w:ascii="仿宋_GB2312"/>
          <w:szCs w:val="32"/>
        </w:rPr>
      </w:pPr>
      <w:r>
        <w:rPr>
          <w:rFonts w:hint="eastAsia" w:ascii="仿宋_GB2312"/>
          <w:szCs w:val="32"/>
        </w:rPr>
        <w:t>技术核查包括以下主要内容：</w:t>
      </w:r>
      <w:r>
        <w:rPr>
          <w:rFonts w:ascii="仿宋_GB2312"/>
          <w:szCs w:val="32"/>
        </w:rPr>
        <w:t>1.</w:t>
      </w:r>
      <w:r>
        <w:rPr>
          <w:rFonts w:hint="eastAsia" w:ascii="仿宋_GB2312"/>
          <w:szCs w:val="32"/>
        </w:rPr>
        <w:t>综合管理，包括国家有关法律、法规、标准的执行情况，资金管理、安全生产、航道巡查、统计资料、廉政建设等；</w:t>
      </w:r>
      <w:r>
        <w:rPr>
          <w:rFonts w:ascii="仿宋_GB2312"/>
          <w:szCs w:val="32"/>
        </w:rPr>
        <w:t>2.</w:t>
      </w:r>
      <w:r>
        <w:rPr>
          <w:rFonts w:hint="eastAsia" w:ascii="仿宋_GB2312"/>
          <w:szCs w:val="32"/>
        </w:rPr>
        <w:t>航道维护与观测，包括维护计划制定与实施、航道维护尺度达标情况、航道测量、疏浚、清障、水位公告、航道信息发布等；</w:t>
      </w:r>
      <w:r>
        <w:rPr>
          <w:rFonts w:ascii="仿宋_GB2312"/>
          <w:szCs w:val="32"/>
        </w:rPr>
        <w:t>3.</w:t>
      </w:r>
      <w:r>
        <w:rPr>
          <w:rFonts w:hint="eastAsia" w:ascii="仿宋_GB2312"/>
          <w:szCs w:val="32"/>
        </w:rPr>
        <w:t>航标维护，包括航标及其他标志标牌配布与设置、日常养护、灯光质量、航标失常恢复、航标台账资料及航标器材质量等；</w:t>
      </w:r>
      <w:r>
        <w:rPr>
          <w:rFonts w:ascii="仿宋_GB2312"/>
          <w:szCs w:val="32"/>
        </w:rPr>
        <w:t>4.</w:t>
      </w:r>
      <w:r>
        <w:rPr>
          <w:rFonts w:hint="eastAsia" w:ascii="仿宋_GB2312"/>
          <w:szCs w:val="32"/>
        </w:rPr>
        <w:t>整治建筑物维护，包括整治建筑物和港航管理码头等管理服务设施的检查、维修、保护及相关的技术资料等；</w:t>
      </w:r>
      <w:r>
        <w:rPr>
          <w:rFonts w:ascii="仿宋_GB2312"/>
          <w:szCs w:val="32"/>
        </w:rPr>
        <w:t>5.</w:t>
      </w:r>
      <w:r>
        <w:rPr>
          <w:rFonts w:hint="eastAsia" w:ascii="仿宋_GB2312"/>
          <w:szCs w:val="32"/>
        </w:rPr>
        <w:t>航运枢纽及通航建筑物维护，包括运行管理规章的制定及执行，机电设备维护保养、水工建筑物的观测检查、运行调度及相关的技术资料等；</w:t>
      </w:r>
      <w:r>
        <w:rPr>
          <w:rFonts w:ascii="仿宋_GB2312"/>
          <w:szCs w:val="32"/>
        </w:rPr>
        <w:t>6.</w:t>
      </w:r>
      <w:r>
        <w:rPr>
          <w:rFonts w:hint="eastAsia" w:ascii="仿宋_GB2312"/>
          <w:szCs w:val="32"/>
        </w:rPr>
        <w:t>船艇维护，包括工作船舶机电设备维护、船舶管理、船员管理及相关的制度、技术资料等；</w:t>
      </w:r>
      <w:r>
        <w:rPr>
          <w:rFonts w:ascii="仿宋_GB2312"/>
          <w:szCs w:val="32"/>
        </w:rPr>
        <w:t>7.</w:t>
      </w:r>
      <w:r>
        <w:rPr>
          <w:rFonts w:hint="eastAsia" w:ascii="仿宋_GB2312"/>
          <w:szCs w:val="32"/>
        </w:rPr>
        <w:t>航道护岸和绿化养护，包括护岸养护完好情况、护岸维修质量、绿化养护情况和养护质量等。</w:t>
      </w:r>
    </w:p>
    <w:p>
      <w:pPr>
        <w:autoSpaceDE w:val="0"/>
        <w:autoSpaceDN w:val="0"/>
        <w:adjustRightInd w:val="0"/>
        <w:snapToGrid w:val="0"/>
        <w:spacing w:line="580" w:lineRule="exact"/>
        <w:ind w:firstLine="640"/>
        <w:rPr>
          <w:rFonts w:ascii="仿宋_GB2312"/>
          <w:szCs w:val="32"/>
        </w:rPr>
      </w:pPr>
      <w:r>
        <w:rPr>
          <w:rFonts w:hint="eastAsia" w:ascii="仿宋_GB2312"/>
          <w:szCs w:val="32"/>
        </w:rPr>
        <w:t>年度技术核查报告包括下列内容：基本情况包括辖区航道情况、养护管理机构设置情况、年度例行养护和专项养护计划及执行情况，分类和综合评价意见，问题与建议，《内河航道例行养护技术核查表》(附件8)。</w:t>
      </w:r>
    </w:p>
    <w:p>
      <w:pPr>
        <w:autoSpaceDE w:val="0"/>
        <w:autoSpaceDN w:val="0"/>
        <w:adjustRightInd w:val="0"/>
        <w:snapToGrid w:val="0"/>
        <w:spacing w:line="580" w:lineRule="exact"/>
        <w:ind w:firstLine="640"/>
        <w:rPr>
          <w:rFonts w:ascii="仿宋_GB2312"/>
          <w:szCs w:val="32"/>
        </w:rPr>
      </w:pPr>
      <w:r>
        <w:rPr>
          <w:rFonts w:hint="eastAsia" w:ascii="仿宋_GB2312"/>
          <w:szCs w:val="32"/>
        </w:rPr>
        <w:t>《内河航道例行养护技术核查表》共8类，每一类总分100分。各级港航管理机构开展自查自评、抽查和年度技术核查工作时，应当对照各核查表内容进行考评打分。其中表一至表四和表七，均应考评打分；辖区内无通航建筑物、航运枢纽、航道护岸和绿化的，表五、六、八可相应不考评；各单位得分取各类得分平均值。现场抽查考评时，对被抽查的每条航道按上述方法进行考评打分，再取各航道得分平均值，确定最终得分。</w:t>
      </w:r>
    </w:p>
    <w:p>
      <w:pPr>
        <w:autoSpaceDE w:val="0"/>
        <w:autoSpaceDN w:val="0"/>
        <w:adjustRightInd w:val="0"/>
        <w:snapToGrid w:val="0"/>
        <w:spacing w:line="580" w:lineRule="exact"/>
        <w:ind w:firstLine="640"/>
        <w:rPr>
          <w:rFonts w:ascii="仿宋_GB2312"/>
          <w:szCs w:val="32"/>
        </w:rPr>
      </w:pPr>
      <w:r>
        <w:rPr>
          <w:rFonts w:hint="eastAsia" w:ascii="仿宋_GB2312"/>
          <w:szCs w:val="32"/>
        </w:rPr>
        <w:t>各市年度技术核查报告于次年一月底前报省港航管理中心。省年度技术核查工作总结报告，于次年二月底前报交通运输部。</w:t>
      </w:r>
    </w:p>
    <w:p>
      <w:pPr>
        <w:pStyle w:val="2"/>
        <w:spacing w:line="580" w:lineRule="exact"/>
        <w:ind w:firstLine="628"/>
      </w:pPr>
      <w:r>
        <w:rPr>
          <w:rFonts w:hint="eastAsia"/>
        </w:rPr>
        <w:t>八、附则</w:t>
      </w:r>
    </w:p>
    <w:p>
      <w:pPr>
        <w:autoSpaceDE w:val="0"/>
        <w:autoSpaceDN w:val="0"/>
        <w:adjustRightInd w:val="0"/>
        <w:snapToGrid w:val="0"/>
        <w:spacing w:line="580" w:lineRule="exact"/>
        <w:ind w:firstLine="640"/>
        <w:rPr>
          <w:rFonts w:ascii="仿宋_GB2312"/>
          <w:szCs w:val="32"/>
        </w:rPr>
      </w:pPr>
      <w:r>
        <w:rPr>
          <w:rFonts w:hint="eastAsia" w:ascii="仿宋_GB2312"/>
          <w:szCs w:val="32"/>
        </w:rPr>
        <w:t>本规定自2021年10月18日起施行。《浙江省航道养护管理办法》《浙江省内河骨干航道例行养护管理规定》《内河航道经常性养护经费定额化管理暂行办法》同时废止。</w:t>
      </w:r>
    </w:p>
    <w:p>
      <w:pPr>
        <w:autoSpaceDE w:val="0"/>
        <w:autoSpaceDN w:val="0"/>
        <w:adjustRightInd w:val="0"/>
        <w:snapToGrid w:val="0"/>
        <w:spacing w:line="580" w:lineRule="exact"/>
        <w:ind w:firstLine="640"/>
        <w:rPr>
          <w:rFonts w:ascii="仿宋_GB2312"/>
          <w:szCs w:val="32"/>
        </w:rPr>
      </w:pPr>
    </w:p>
    <w:p>
      <w:pPr>
        <w:autoSpaceDE w:val="0"/>
        <w:autoSpaceDN w:val="0"/>
        <w:adjustRightInd w:val="0"/>
        <w:snapToGrid w:val="0"/>
        <w:spacing w:line="580" w:lineRule="exact"/>
        <w:ind w:firstLine="640"/>
        <w:rPr>
          <w:rFonts w:ascii="仿宋_GB2312"/>
          <w:szCs w:val="32"/>
        </w:rPr>
      </w:pPr>
      <w:r>
        <w:rPr>
          <w:rFonts w:hint="eastAsia" w:ascii="仿宋_GB2312"/>
          <w:szCs w:val="32"/>
        </w:rPr>
        <w:t>附件：1.航道巡查现场记录表</w:t>
      </w:r>
    </w:p>
    <w:p>
      <w:pPr>
        <w:autoSpaceDE w:val="0"/>
        <w:autoSpaceDN w:val="0"/>
        <w:adjustRightInd w:val="0"/>
        <w:snapToGrid w:val="0"/>
        <w:spacing w:line="580" w:lineRule="exact"/>
        <w:ind w:firstLine="640"/>
        <w:rPr>
          <w:rFonts w:ascii="仿宋_GB2312"/>
          <w:szCs w:val="32"/>
        </w:rPr>
      </w:pPr>
      <w:r>
        <w:rPr>
          <w:rFonts w:hint="eastAsia" w:ascii="仿宋_GB2312"/>
          <w:szCs w:val="32"/>
        </w:rPr>
        <w:t xml:space="preserve">      2.航道养护联系单</w:t>
      </w:r>
    </w:p>
    <w:p>
      <w:pPr>
        <w:autoSpaceDE w:val="0"/>
        <w:autoSpaceDN w:val="0"/>
        <w:adjustRightInd w:val="0"/>
        <w:snapToGrid w:val="0"/>
        <w:spacing w:line="580" w:lineRule="exact"/>
        <w:ind w:firstLine="1570" w:firstLineChars="500"/>
        <w:rPr>
          <w:rFonts w:ascii="仿宋_GB2312"/>
          <w:szCs w:val="32"/>
        </w:rPr>
      </w:pPr>
      <w:r>
        <w:rPr>
          <w:rFonts w:hint="eastAsia" w:ascii="仿宋_GB2312"/>
          <w:szCs w:val="32"/>
        </w:rPr>
        <w:t>3.内河骨干航道例行养护工作统计表</w:t>
      </w:r>
    </w:p>
    <w:p>
      <w:pPr>
        <w:autoSpaceDE w:val="0"/>
        <w:autoSpaceDN w:val="0"/>
        <w:adjustRightInd w:val="0"/>
        <w:snapToGrid w:val="0"/>
        <w:spacing w:line="580" w:lineRule="exact"/>
        <w:ind w:firstLine="1570" w:firstLineChars="500"/>
        <w:rPr>
          <w:rFonts w:ascii="仿宋_GB2312"/>
          <w:szCs w:val="32"/>
        </w:rPr>
      </w:pPr>
      <w:r>
        <w:rPr>
          <w:rFonts w:hint="eastAsia" w:ascii="仿宋_GB2312"/>
          <w:szCs w:val="32"/>
        </w:rPr>
        <w:t>4.全航区其他航道例行养护工作统计表</w:t>
      </w:r>
    </w:p>
    <w:p>
      <w:pPr>
        <w:autoSpaceDE w:val="0"/>
        <w:autoSpaceDN w:val="0"/>
        <w:adjustRightInd w:val="0"/>
        <w:snapToGrid w:val="0"/>
        <w:spacing w:line="580" w:lineRule="exact"/>
        <w:ind w:firstLine="1570" w:firstLineChars="500"/>
        <w:jc w:val="left"/>
        <w:rPr>
          <w:rFonts w:ascii="仿宋_GB2312"/>
          <w:szCs w:val="32"/>
        </w:rPr>
      </w:pPr>
      <w:r>
        <w:rPr>
          <w:rFonts w:hint="eastAsia" w:ascii="仿宋_GB2312"/>
          <w:szCs w:val="32"/>
        </w:rPr>
        <w:t>5.专项养护完成情况季（年）报表</w:t>
      </w:r>
    </w:p>
    <w:p>
      <w:pPr>
        <w:autoSpaceDE w:val="0"/>
        <w:autoSpaceDN w:val="0"/>
        <w:adjustRightInd w:val="0"/>
        <w:snapToGrid w:val="0"/>
        <w:spacing w:line="580" w:lineRule="exact"/>
        <w:ind w:firstLine="1570" w:firstLineChars="500"/>
        <w:jc w:val="left"/>
        <w:rPr>
          <w:rFonts w:ascii="仿宋_GB2312"/>
          <w:szCs w:val="32"/>
        </w:rPr>
      </w:pPr>
      <w:r>
        <w:rPr>
          <w:rFonts w:hint="eastAsia" w:ascii="仿宋_GB2312"/>
          <w:szCs w:val="32"/>
        </w:rPr>
        <w:t>6.竣工验收现场核查报告</w:t>
      </w:r>
    </w:p>
    <w:p>
      <w:pPr>
        <w:autoSpaceDE w:val="0"/>
        <w:autoSpaceDN w:val="0"/>
        <w:adjustRightInd w:val="0"/>
        <w:snapToGrid w:val="0"/>
        <w:spacing w:line="580" w:lineRule="exact"/>
        <w:ind w:firstLine="1570" w:firstLineChars="500"/>
        <w:jc w:val="left"/>
        <w:rPr>
          <w:rFonts w:hint="eastAsia" w:ascii="仿宋_GB2312"/>
          <w:szCs w:val="32"/>
        </w:rPr>
      </w:pPr>
      <w:r>
        <w:rPr>
          <w:rFonts w:hint="eastAsia" w:ascii="仿宋_GB2312"/>
          <w:szCs w:val="32"/>
        </w:rPr>
        <w:t>7.项目竣工验收报告</w:t>
      </w:r>
    </w:p>
    <w:p>
      <w:pPr>
        <w:autoSpaceDE w:val="0"/>
        <w:autoSpaceDN w:val="0"/>
        <w:adjustRightInd w:val="0"/>
        <w:snapToGrid w:val="0"/>
        <w:spacing w:line="580" w:lineRule="exact"/>
        <w:ind w:firstLine="1570" w:firstLineChars="500"/>
        <w:jc w:val="left"/>
        <w:rPr>
          <w:rFonts w:hint="eastAsia" w:ascii="仿宋_GB2312"/>
          <w:szCs w:val="32"/>
        </w:rPr>
      </w:pPr>
      <w:r>
        <w:rPr>
          <w:rFonts w:hint="eastAsia" w:ascii="仿宋_GB2312"/>
          <w:szCs w:val="32"/>
        </w:rPr>
        <w:t>8.内河航道例行养护技术核查表</w:t>
      </w:r>
    </w:p>
    <w:p>
      <w:pPr>
        <w:adjustRightInd w:val="0"/>
        <w:snapToGrid w:val="0"/>
        <w:rPr>
          <w:rFonts w:hint="eastAsia" w:ascii="黑体" w:eastAsia="黑体"/>
          <w:szCs w:val="32"/>
        </w:rPr>
      </w:pPr>
    </w:p>
    <w:p>
      <w:pPr>
        <w:adjustRightInd w:val="0"/>
        <w:snapToGrid w:val="0"/>
        <w:rPr>
          <w:rFonts w:hint="eastAsia" w:ascii="黑体" w:eastAsia="黑体"/>
          <w:szCs w:val="32"/>
        </w:rPr>
      </w:pPr>
    </w:p>
    <w:p>
      <w:pPr>
        <w:adjustRightInd w:val="0"/>
        <w:snapToGrid w:val="0"/>
        <w:rPr>
          <w:rFonts w:hint="eastAsia" w:ascii="黑体" w:eastAsia="黑体"/>
          <w:szCs w:val="32"/>
        </w:rPr>
      </w:pPr>
    </w:p>
    <w:p>
      <w:pPr>
        <w:adjustRightInd w:val="0"/>
        <w:snapToGrid w:val="0"/>
        <w:rPr>
          <w:rFonts w:hint="eastAsia" w:ascii="黑体" w:eastAsia="黑体"/>
          <w:szCs w:val="32"/>
        </w:rPr>
      </w:pPr>
    </w:p>
    <w:p>
      <w:pPr>
        <w:adjustRightInd w:val="0"/>
        <w:snapToGrid w:val="0"/>
        <w:rPr>
          <w:rFonts w:hint="eastAsia" w:ascii="黑体" w:eastAsia="黑体"/>
          <w:szCs w:val="32"/>
        </w:rPr>
      </w:pPr>
    </w:p>
    <w:p>
      <w:pPr>
        <w:adjustRightInd w:val="0"/>
        <w:snapToGrid w:val="0"/>
        <w:rPr>
          <w:rFonts w:hint="eastAsia" w:ascii="黑体" w:eastAsia="黑体"/>
          <w:szCs w:val="32"/>
        </w:rPr>
      </w:pPr>
    </w:p>
    <w:p>
      <w:pPr>
        <w:adjustRightInd w:val="0"/>
        <w:snapToGrid w:val="0"/>
        <w:rPr>
          <w:rFonts w:hint="eastAsia" w:ascii="黑体" w:eastAsia="黑体"/>
          <w:szCs w:val="32"/>
        </w:rPr>
      </w:pPr>
    </w:p>
    <w:p>
      <w:pPr>
        <w:adjustRightInd w:val="0"/>
        <w:snapToGrid w:val="0"/>
        <w:rPr>
          <w:rFonts w:hint="eastAsia" w:ascii="黑体" w:eastAsia="黑体"/>
          <w:szCs w:val="32"/>
        </w:rPr>
      </w:pPr>
    </w:p>
    <w:p>
      <w:pPr>
        <w:adjustRightInd w:val="0"/>
        <w:snapToGrid w:val="0"/>
        <w:rPr>
          <w:rFonts w:hint="eastAsia" w:ascii="黑体" w:eastAsia="黑体"/>
          <w:szCs w:val="32"/>
        </w:rPr>
      </w:pPr>
    </w:p>
    <w:p>
      <w:pPr>
        <w:adjustRightInd w:val="0"/>
        <w:snapToGrid w:val="0"/>
        <w:rPr>
          <w:rFonts w:ascii="黑体" w:eastAsia="黑体"/>
          <w:szCs w:val="32"/>
        </w:rPr>
      </w:pPr>
      <w:r>
        <w:rPr>
          <w:rFonts w:hint="eastAsia" w:ascii="黑体" w:eastAsia="黑体"/>
          <w:szCs w:val="32"/>
        </w:rPr>
        <w:t>附件1</w:t>
      </w:r>
    </w:p>
    <w:p>
      <w:pPr>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航道巡查现场记录表</w:t>
      </w:r>
    </w:p>
    <w:p>
      <w:pPr>
        <w:adjustRightInd w:val="0"/>
        <w:snapToGrid w:val="0"/>
        <w:spacing w:line="440" w:lineRule="exact"/>
        <w:ind w:firstLine="640"/>
        <w:rPr>
          <w:rFonts w:ascii="仿宋_GB2312"/>
          <w:szCs w:val="32"/>
        </w:rPr>
      </w:pPr>
      <w:r>
        <w:rPr>
          <w:rFonts w:hint="eastAsia" w:ascii="仿宋_GB2312"/>
          <w:szCs w:val="32"/>
        </w:rPr>
        <w:t>一、巡查概况</w:t>
      </w:r>
    </w:p>
    <w:p>
      <w:pPr>
        <w:adjustRightInd w:val="0"/>
        <w:snapToGrid w:val="0"/>
        <w:spacing w:line="440" w:lineRule="exact"/>
        <w:ind w:firstLine="640"/>
        <w:rPr>
          <w:rFonts w:ascii="仿宋_GB2312"/>
          <w:szCs w:val="32"/>
          <w:u w:val="single"/>
        </w:rPr>
      </w:pPr>
      <w:r>
        <w:rPr>
          <w:rFonts w:hint="eastAsia" w:ascii="仿宋_GB2312"/>
          <w:szCs w:val="32"/>
        </w:rPr>
        <w:t>巡查时间：</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航道名称：</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 xml:space="preserve">起讫点：  </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巡查里程：</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参加人员：</w:t>
      </w:r>
      <w:r>
        <w:rPr>
          <w:rFonts w:hint="eastAsia" w:ascii="仿宋_GB2312"/>
          <w:szCs w:val="32"/>
          <w:u w:val="single"/>
        </w:rPr>
        <w:t xml:space="preserve">                                          </w:t>
      </w:r>
    </w:p>
    <w:p>
      <w:pPr>
        <w:tabs>
          <w:tab w:val="left" w:pos="6540"/>
        </w:tabs>
        <w:adjustRightInd w:val="0"/>
        <w:snapToGrid w:val="0"/>
        <w:spacing w:line="440" w:lineRule="exact"/>
        <w:ind w:firstLine="640"/>
        <w:rPr>
          <w:rFonts w:ascii="仿宋_GB2312"/>
          <w:szCs w:val="32"/>
        </w:rPr>
      </w:pPr>
      <w:r>
        <w:rPr>
          <w:rFonts w:hint="eastAsia" w:ascii="仿宋_GB2312"/>
          <w:szCs w:val="32"/>
        </w:rPr>
        <w:t>二、航道缺陷情况</w:t>
      </w:r>
      <w:r>
        <w:rPr>
          <w:rFonts w:ascii="仿宋_GB2312"/>
          <w:szCs w:val="32"/>
        </w:rPr>
        <w:tab/>
      </w:r>
    </w:p>
    <w:p>
      <w:pPr>
        <w:adjustRightInd w:val="0"/>
        <w:snapToGrid w:val="0"/>
        <w:spacing w:line="440" w:lineRule="exact"/>
        <w:ind w:firstLine="640"/>
        <w:rPr>
          <w:rFonts w:ascii="仿宋_GB2312"/>
          <w:szCs w:val="32"/>
        </w:rPr>
      </w:pPr>
      <w:r>
        <w:rPr>
          <w:rFonts w:hint="eastAsia" w:ascii="仿宋_GB2312"/>
          <w:szCs w:val="32"/>
        </w:rPr>
        <w:t>1．航道淤积情况</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adjustRightInd w:val="0"/>
        <w:snapToGrid w:val="0"/>
        <w:spacing w:line="440" w:lineRule="exact"/>
        <w:ind w:firstLine="640"/>
        <w:rPr>
          <w:rFonts w:ascii="仿宋_GB2312"/>
          <w:szCs w:val="32"/>
        </w:rPr>
      </w:pPr>
      <w:r>
        <w:rPr>
          <w:rFonts w:hint="eastAsia" w:ascii="仿宋_GB2312"/>
          <w:szCs w:val="32"/>
        </w:rPr>
        <w:t>2．护岸、管理码头缺陷</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adjustRightInd w:val="0"/>
        <w:snapToGrid w:val="0"/>
        <w:spacing w:line="440" w:lineRule="exact"/>
        <w:ind w:firstLine="640"/>
        <w:rPr>
          <w:rFonts w:ascii="仿宋_GB2312"/>
          <w:szCs w:val="32"/>
        </w:rPr>
      </w:pPr>
      <w:r>
        <w:rPr>
          <w:rFonts w:hint="eastAsia" w:ascii="仿宋_GB2312"/>
          <w:szCs w:val="32"/>
        </w:rPr>
        <w:t>3．航标缺陷</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adjustRightInd w:val="0"/>
        <w:snapToGrid w:val="0"/>
        <w:spacing w:line="440" w:lineRule="exact"/>
        <w:ind w:firstLine="640"/>
        <w:rPr>
          <w:rFonts w:ascii="仿宋_GB2312"/>
          <w:szCs w:val="32"/>
        </w:rPr>
      </w:pPr>
      <w:r>
        <w:rPr>
          <w:rFonts w:hint="eastAsia" w:ascii="仿宋_GB2312"/>
          <w:szCs w:val="32"/>
        </w:rPr>
        <w:t>4．碍航物情况</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adjustRightInd w:val="0"/>
        <w:snapToGrid w:val="0"/>
        <w:spacing w:line="440" w:lineRule="exact"/>
        <w:ind w:firstLine="640"/>
        <w:rPr>
          <w:rFonts w:ascii="仿宋_GB2312"/>
          <w:szCs w:val="32"/>
        </w:rPr>
      </w:pPr>
      <w:r>
        <w:rPr>
          <w:rFonts w:hint="eastAsia" w:ascii="仿宋_GB2312"/>
          <w:szCs w:val="32"/>
        </w:rPr>
        <w:t>5．航道绿化缺陷</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adjustRightInd w:val="0"/>
        <w:snapToGrid w:val="0"/>
        <w:spacing w:line="440" w:lineRule="exact"/>
        <w:ind w:firstLine="640"/>
        <w:rPr>
          <w:rFonts w:ascii="仿宋_GB2312"/>
          <w:szCs w:val="32"/>
        </w:rPr>
      </w:pPr>
      <w:r>
        <w:rPr>
          <w:rFonts w:hint="eastAsia" w:ascii="仿宋_GB2312"/>
          <w:szCs w:val="32"/>
        </w:rPr>
        <w:t>6．其他情况</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adjustRightInd w:val="0"/>
        <w:snapToGrid w:val="0"/>
        <w:rPr>
          <w:rFonts w:hint="eastAsia" w:ascii="黑体" w:eastAsia="黑体"/>
          <w:szCs w:val="32"/>
        </w:rPr>
      </w:pPr>
    </w:p>
    <w:p>
      <w:pPr>
        <w:adjustRightInd w:val="0"/>
        <w:snapToGrid w:val="0"/>
        <w:rPr>
          <w:rFonts w:ascii="黑体" w:eastAsia="黑体"/>
          <w:szCs w:val="32"/>
        </w:rPr>
      </w:pPr>
      <w:r>
        <w:rPr>
          <w:rFonts w:hint="eastAsia" w:ascii="黑体" w:eastAsia="黑体"/>
          <w:szCs w:val="32"/>
        </w:rPr>
        <w:t>附件2</w:t>
      </w:r>
    </w:p>
    <w:p>
      <w:pPr>
        <w:adjustRightInd w:val="0"/>
        <w:snapToGrid w:val="0"/>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航道养护联系单</w:t>
      </w:r>
    </w:p>
    <w:p>
      <w:pPr>
        <w:adjustRightInd w:val="0"/>
        <w:snapToGrid w:val="0"/>
        <w:spacing w:line="440" w:lineRule="exact"/>
        <w:ind w:firstLine="640"/>
        <w:rPr>
          <w:rFonts w:ascii="仿宋_GB2312"/>
          <w:szCs w:val="32"/>
        </w:rPr>
      </w:pPr>
      <w:r>
        <w:rPr>
          <w:rFonts w:hint="eastAsia" w:ascii="仿宋_GB2312"/>
          <w:szCs w:val="32"/>
          <w:u w:val="single"/>
        </w:rPr>
        <w:t xml:space="preserve">                    </w:t>
      </w:r>
      <w:r>
        <w:rPr>
          <w:rFonts w:hint="eastAsia" w:ascii="仿宋_GB2312"/>
          <w:szCs w:val="32"/>
        </w:rPr>
        <w:t>：</w:t>
      </w:r>
    </w:p>
    <w:p>
      <w:pPr>
        <w:adjustRightInd w:val="0"/>
        <w:snapToGrid w:val="0"/>
        <w:spacing w:line="440" w:lineRule="exact"/>
        <w:ind w:firstLine="640"/>
        <w:rPr>
          <w:rFonts w:ascii="仿宋_GB2312"/>
          <w:szCs w:val="32"/>
          <w:u w:val="single"/>
        </w:rPr>
      </w:pPr>
      <w:r>
        <w:rPr>
          <w:rFonts w:hint="eastAsia" w:ascii="仿宋_GB2312"/>
          <w:szCs w:val="32"/>
        </w:rPr>
        <w:t>我单位（部门）于</w:t>
      </w:r>
      <w:r>
        <w:rPr>
          <w:rFonts w:hint="eastAsia" w:ascii="仿宋_GB2312"/>
          <w:szCs w:val="32"/>
          <w:u w:val="single"/>
        </w:rPr>
        <w:t xml:space="preserve">    </w:t>
      </w:r>
      <w:r>
        <w:rPr>
          <w:rFonts w:hint="eastAsia" w:ascii="仿宋_GB2312"/>
          <w:szCs w:val="32"/>
        </w:rPr>
        <w:t>年</w:t>
      </w:r>
      <w:r>
        <w:rPr>
          <w:rFonts w:hint="eastAsia" w:ascii="仿宋_GB2312"/>
          <w:szCs w:val="32"/>
          <w:u w:val="single"/>
        </w:rPr>
        <w:t xml:space="preserve">    </w:t>
      </w:r>
      <w:r>
        <w:rPr>
          <w:rFonts w:hint="eastAsia" w:ascii="仿宋_GB2312"/>
          <w:szCs w:val="32"/>
        </w:rPr>
        <w:t>月</w:t>
      </w:r>
      <w:r>
        <w:rPr>
          <w:rFonts w:hint="eastAsia" w:ascii="仿宋_GB2312"/>
          <w:szCs w:val="32"/>
          <w:u w:val="single"/>
        </w:rPr>
        <w:t xml:space="preserve">    </w:t>
      </w:r>
      <w:r>
        <w:rPr>
          <w:rFonts w:hint="eastAsia" w:ascii="仿宋_GB2312"/>
          <w:szCs w:val="32"/>
        </w:rPr>
        <w:t>日，在</w:t>
      </w:r>
      <w:r>
        <w:rPr>
          <w:rFonts w:hint="eastAsia" w:ascii="仿宋_GB2312"/>
          <w:szCs w:val="32"/>
          <w:u w:val="single"/>
        </w:rPr>
        <w:t xml:space="preserve">          </w:t>
      </w:r>
    </w:p>
    <w:p>
      <w:pPr>
        <w:adjustRightInd w:val="0"/>
        <w:snapToGrid w:val="0"/>
        <w:spacing w:line="440" w:lineRule="exact"/>
        <w:ind w:firstLine="640"/>
        <w:rPr>
          <w:rFonts w:ascii="仿宋_GB2312"/>
          <w:szCs w:val="32"/>
        </w:rPr>
      </w:pPr>
      <w:r>
        <w:rPr>
          <w:rFonts w:hint="eastAsia" w:ascii="仿宋_GB2312"/>
          <w:szCs w:val="32"/>
          <w:u w:val="single"/>
        </w:rPr>
        <w:t xml:space="preserve">            </w:t>
      </w:r>
      <w:r>
        <w:rPr>
          <w:rFonts w:hint="eastAsia" w:ascii="仿宋_GB2312"/>
          <w:szCs w:val="32"/>
        </w:rPr>
        <w:t xml:space="preserve">航道巡查时，发现下列航道缺陷，请安排养护。              </w:t>
      </w:r>
    </w:p>
    <w:p>
      <w:pPr>
        <w:adjustRightInd w:val="0"/>
        <w:snapToGrid w:val="0"/>
        <w:spacing w:line="440" w:lineRule="exact"/>
        <w:ind w:firstLine="2826" w:firstLineChars="900"/>
        <w:rPr>
          <w:rFonts w:ascii="仿宋_GB2312"/>
          <w:szCs w:val="32"/>
        </w:rPr>
      </w:pPr>
      <w:r>
        <w:rPr>
          <w:rFonts w:hint="eastAsia" w:ascii="仿宋_GB2312"/>
          <w:szCs w:val="32"/>
        </w:rPr>
        <w:t>巡查报告单位（部门）：</w:t>
      </w:r>
      <w:r>
        <w:rPr>
          <w:rFonts w:hint="eastAsia" w:ascii="仿宋_GB2312"/>
          <w:szCs w:val="32"/>
          <w:u w:val="single"/>
        </w:rPr>
        <w:t xml:space="preserve">            </w:t>
      </w:r>
    </w:p>
    <w:p>
      <w:pPr>
        <w:adjustRightInd w:val="0"/>
        <w:snapToGrid w:val="0"/>
        <w:spacing w:line="440" w:lineRule="exact"/>
        <w:ind w:firstLine="640"/>
        <w:rPr>
          <w:rFonts w:ascii="仿宋_GB2312"/>
          <w:szCs w:val="32"/>
        </w:rPr>
      </w:pPr>
    </w:p>
    <w:p>
      <w:pPr>
        <w:adjustRightInd w:val="0"/>
        <w:snapToGrid w:val="0"/>
        <w:spacing w:line="440" w:lineRule="exact"/>
        <w:ind w:firstLine="640"/>
        <w:rPr>
          <w:rFonts w:ascii="仿宋_GB2312"/>
          <w:szCs w:val="32"/>
        </w:rPr>
      </w:pPr>
      <w:r>
        <w:rPr>
          <w:rFonts w:hint="eastAsia" w:ascii="仿宋_GB2312"/>
          <w:szCs w:val="32"/>
        </w:rPr>
        <w:t>1．航道淤积情况</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adjustRightInd w:val="0"/>
        <w:snapToGrid w:val="0"/>
        <w:spacing w:line="440" w:lineRule="exact"/>
        <w:ind w:firstLine="640"/>
        <w:rPr>
          <w:rFonts w:ascii="仿宋_GB2312"/>
          <w:szCs w:val="32"/>
        </w:rPr>
      </w:pPr>
      <w:r>
        <w:rPr>
          <w:rFonts w:hint="eastAsia" w:ascii="仿宋_GB2312"/>
          <w:szCs w:val="32"/>
        </w:rPr>
        <w:t>2．护岸、管理码头缺陷</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adjustRightInd w:val="0"/>
        <w:snapToGrid w:val="0"/>
        <w:spacing w:line="440" w:lineRule="exact"/>
        <w:ind w:firstLine="640"/>
        <w:rPr>
          <w:rFonts w:ascii="仿宋_GB2312"/>
          <w:szCs w:val="32"/>
        </w:rPr>
      </w:pPr>
      <w:r>
        <w:rPr>
          <w:rFonts w:hint="eastAsia" w:ascii="仿宋_GB2312"/>
          <w:szCs w:val="32"/>
        </w:rPr>
        <w:t>3．航标缺陷</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adjustRightInd w:val="0"/>
        <w:snapToGrid w:val="0"/>
        <w:spacing w:line="440" w:lineRule="exact"/>
        <w:ind w:firstLine="640"/>
        <w:rPr>
          <w:rFonts w:ascii="仿宋_GB2312"/>
          <w:szCs w:val="32"/>
        </w:rPr>
      </w:pPr>
      <w:r>
        <w:rPr>
          <w:rFonts w:hint="eastAsia" w:ascii="仿宋_GB2312"/>
          <w:szCs w:val="32"/>
        </w:rPr>
        <w:t>4．碍航物情况</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adjustRightInd w:val="0"/>
        <w:snapToGrid w:val="0"/>
        <w:spacing w:line="440" w:lineRule="exact"/>
        <w:ind w:firstLine="640"/>
        <w:rPr>
          <w:rFonts w:ascii="仿宋_GB2312"/>
          <w:szCs w:val="32"/>
        </w:rPr>
      </w:pPr>
      <w:r>
        <w:rPr>
          <w:rFonts w:hint="eastAsia" w:ascii="仿宋_GB2312"/>
          <w:szCs w:val="32"/>
        </w:rPr>
        <w:t>5．航道绿化缺陷</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adjustRightInd w:val="0"/>
        <w:snapToGrid w:val="0"/>
        <w:spacing w:line="440" w:lineRule="exact"/>
        <w:ind w:firstLine="640"/>
        <w:rPr>
          <w:rFonts w:ascii="仿宋_GB2312"/>
          <w:szCs w:val="32"/>
        </w:rPr>
      </w:pPr>
      <w:r>
        <w:rPr>
          <w:rFonts w:hint="eastAsia" w:ascii="仿宋_GB2312"/>
          <w:szCs w:val="32"/>
        </w:rPr>
        <w:t>6．其他情况</w:t>
      </w:r>
    </w:p>
    <w:p>
      <w:pPr>
        <w:adjustRightInd w:val="0"/>
        <w:snapToGrid w:val="0"/>
        <w:spacing w:line="440" w:lineRule="exact"/>
        <w:ind w:firstLine="640"/>
        <w:rPr>
          <w:rFonts w:ascii="仿宋_GB2312"/>
          <w:szCs w:val="32"/>
          <w:u w:val="single"/>
        </w:rPr>
      </w:pPr>
      <w:r>
        <w:rPr>
          <w:rFonts w:hint="eastAsia" w:ascii="仿宋_GB2312"/>
          <w:szCs w:val="32"/>
        </w:rPr>
        <w:t>地点：</w:t>
      </w:r>
      <w:r>
        <w:rPr>
          <w:rFonts w:hint="eastAsia" w:ascii="仿宋_GB2312"/>
          <w:szCs w:val="32"/>
          <w:u w:val="single"/>
        </w:rPr>
        <w:t xml:space="preserve">                                              </w:t>
      </w:r>
    </w:p>
    <w:p>
      <w:pPr>
        <w:adjustRightInd w:val="0"/>
        <w:snapToGrid w:val="0"/>
        <w:spacing w:line="440" w:lineRule="exact"/>
        <w:ind w:firstLine="640"/>
        <w:rPr>
          <w:rFonts w:ascii="仿宋_GB2312"/>
          <w:szCs w:val="32"/>
          <w:u w:val="single"/>
        </w:rPr>
      </w:pPr>
      <w:r>
        <w:rPr>
          <w:rFonts w:hint="eastAsia" w:ascii="仿宋_GB2312"/>
          <w:szCs w:val="32"/>
        </w:rPr>
        <w:t>概况：</w:t>
      </w:r>
      <w:r>
        <w:rPr>
          <w:rFonts w:hint="eastAsia" w:ascii="仿宋_GB2312"/>
          <w:szCs w:val="32"/>
          <w:u w:val="single"/>
        </w:rPr>
        <w:t xml:space="preserve">                                              </w:t>
      </w:r>
    </w:p>
    <w:p>
      <w:pPr>
        <w:spacing w:line="580" w:lineRule="atLeast"/>
        <w:ind w:firstLine="628" w:firstLineChars="200"/>
        <w:rPr>
          <w:rFonts w:ascii="仿宋_GB2312"/>
        </w:rPr>
      </w:pPr>
      <w:r>
        <w:rPr>
          <w:rFonts w:hint="eastAsia" w:ascii="仿宋_GB2312"/>
          <w:szCs w:val="32"/>
        </w:rPr>
        <w:t>相关图片附后。</w:t>
      </w:r>
    </w:p>
    <w:p>
      <w:pPr>
        <w:sectPr>
          <w:headerReference r:id="rId3" w:type="default"/>
          <w:footerReference r:id="rId5" w:type="default"/>
          <w:headerReference r:id="rId4" w:type="even"/>
          <w:footerReference r:id="rId6" w:type="even"/>
          <w:pgSz w:w="11906" w:h="16838"/>
          <w:pgMar w:top="2098" w:right="1474" w:bottom="1985" w:left="1588" w:header="851" w:footer="1418" w:gutter="0"/>
          <w:cols w:space="425" w:num="1"/>
          <w:docGrid w:type="linesAndChars" w:linePitch="579" w:charSpace="-1266"/>
        </w:sectPr>
      </w:pPr>
    </w:p>
    <w:p>
      <w:pPr>
        <w:adjustRightInd w:val="0"/>
        <w:snapToGrid w:val="0"/>
        <w:spacing w:line="360" w:lineRule="auto"/>
        <w:rPr>
          <w:rFonts w:ascii="黑体" w:eastAsia="黑体"/>
          <w:szCs w:val="32"/>
        </w:rPr>
      </w:pPr>
      <w:r>
        <w:rPr>
          <w:rFonts w:hint="eastAsia" w:ascii="黑体" w:eastAsia="黑体"/>
          <w:szCs w:val="32"/>
        </w:rPr>
        <w:t>附件3</w:t>
      </w:r>
    </w:p>
    <w:p>
      <w:pPr>
        <w:adjustRightInd w:val="0"/>
        <w:snapToGrid w:val="0"/>
        <w:spacing w:line="500" w:lineRule="exact"/>
        <w:jc w:val="center"/>
        <w:rPr>
          <w:rFonts w:ascii="方正小标宋简体" w:eastAsia="方正小标宋简体"/>
          <w:sz w:val="44"/>
          <w:szCs w:val="44"/>
        </w:rPr>
      </w:pPr>
      <w:r>
        <w:rPr>
          <w:rFonts w:hint="eastAsia" w:ascii="方正小标宋简体" w:hAnsi="宋体" w:eastAsia="方正小标宋简体"/>
          <w:sz w:val="44"/>
          <w:szCs w:val="44"/>
        </w:rPr>
        <w:t>内河骨干航道例行养护工作统计表</w:t>
      </w:r>
      <w:r>
        <w:rPr>
          <w:rFonts w:hint="eastAsia" w:ascii="方正小标宋简体" w:eastAsia="方正小标宋简体"/>
          <w:sz w:val="44"/>
          <w:szCs w:val="44"/>
        </w:rPr>
        <w:t xml:space="preserve">  </w:t>
      </w:r>
    </w:p>
    <w:p>
      <w:pPr>
        <w:adjustRightInd w:val="0"/>
        <w:snapToGrid w:val="0"/>
        <w:spacing w:line="360" w:lineRule="auto"/>
        <w:rPr>
          <w:rFonts w:ascii="仿宋_GB2312"/>
          <w:sz w:val="24"/>
          <w:szCs w:val="24"/>
        </w:rPr>
      </w:pPr>
      <w:r>
        <w:rPr>
          <w:rFonts w:hint="eastAsia" w:ascii="仿宋_GB2312"/>
          <w:sz w:val="24"/>
          <w:szCs w:val="24"/>
        </w:rPr>
        <w:t>单位：（公章）                                                                                                年   季</w:t>
      </w:r>
    </w:p>
    <w:tbl>
      <w:tblPr>
        <w:tblStyle w:val="6"/>
        <w:tblW w:w="13960" w:type="dxa"/>
        <w:tblInd w:w="88" w:type="dxa"/>
        <w:tblLayout w:type="autofit"/>
        <w:tblCellMar>
          <w:top w:w="0" w:type="dxa"/>
          <w:left w:w="108" w:type="dxa"/>
          <w:bottom w:w="0" w:type="dxa"/>
          <w:right w:w="108" w:type="dxa"/>
        </w:tblCellMar>
      </w:tblPr>
      <w:tblGrid>
        <w:gridCol w:w="1240"/>
        <w:gridCol w:w="1300"/>
        <w:gridCol w:w="1260"/>
        <w:gridCol w:w="1080"/>
        <w:gridCol w:w="1080"/>
        <w:gridCol w:w="1080"/>
        <w:gridCol w:w="1080"/>
        <w:gridCol w:w="1260"/>
        <w:gridCol w:w="1620"/>
        <w:gridCol w:w="2960"/>
      </w:tblGrid>
      <w:tr>
        <w:tblPrEx>
          <w:tblCellMar>
            <w:top w:w="0" w:type="dxa"/>
            <w:left w:w="108" w:type="dxa"/>
            <w:bottom w:w="0" w:type="dxa"/>
            <w:right w:w="108" w:type="dxa"/>
          </w:tblCellMar>
        </w:tblPrEx>
        <w:trPr>
          <w:cantSplit/>
          <w:trHeight w:val="260" w:hRule="atLeast"/>
        </w:trPr>
        <w:tc>
          <w:tcPr>
            <w:tcW w:w="2540" w:type="dxa"/>
            <w:gridSpan w:val="2"/>
            <w:vMerge w:val="restart"/>
            <w:tcBorders>
              <w:top w:val="single" w:color="auto" w:sz="4" w:space="0"/>
              <w:left w:val="single" w:color="auto" w:sz="4" w:space="0"/>
              <w:bottom w:val="nil"/>
              <w:right w:val="single" w:color="000000" w:sz="4" w:space="0"/>
              <w:tl2br w:val="single" w:color="auto" w:sz="4" w:space="0"/>
            </w:tcBorders>
            <w:noWrap w:val="0"/>
            <w:vAlign w:val="center"/>
          </w:tcPr>
          <w:p>
            <w:pPr>
              <w:widowControl/>
              <w:spacing w:line="260" w:lineRule="exact"/>
              <w:jc w:val="left"/>
              <w:rPr>
                <w:rFonts w:ascii="仿宋_GB2312" w:hAnsi="宋体" w:cs="宋体"/>
                <w:kern w:val="0"/>
                <w:sz w:val="24"/>
                <w:szCs w:val="24"/>
              </w:rPr>
            </w:pPr>
            <w:r>
              <w:rPr>
                <w:rFonts w:hint="eastAsia" w:ascii="仿宋_GB2312" w:hAnsi="宋体" w:cs="宋体"/>
                <w:kern w:val="0"/>
                <w:sz w:val="24"/>
                <w:szCs w:val="24"/>
              </w:rPr>
              <w:t xml:space="preserve">           航道名称            工作量</w:t>
            </w:r>
          </w:p>
        </w:tc>
        <w:tc>
          <w:tcPr>
            <w:tcW w:w="1260"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ascii="仿宋_GB2312" w:hAnsi="宋体" w:cs="宋体"/>
                <w:kern w:val="0"/>
                <w:sz w:val="24"/>
                <w:szCs w:val="24"/>
              </w:rPr>
            </w:pPr>
          </w:p>
        </w:tc>
        <w:tc>
          <w:tcPr>
            <w:tcW w:w="1080"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ascii="仿宋_GB2312" w:hAnsi="宋体" w:cs="宋体"/>
                <w:kern w:val="0"/>
                <w:sz w:val="24"/>
                <w:szCs w:val="24"/>
              </w:rPr>
            </w:pPr>
          </w:p>
        </w:tc>
        <w:tc>
          <w:tcPr>
            <w:tcW w:w="1080"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ascii="仿宋_GB2312" w:hAnsi="宋体" w:cs="宋体"/>
                <w:kern w:val="0"/>
                <w:sz w:val="24"/>
                <w:szCs w:val="24"/>
              </w:rPr>
            </w:pPr>
          </w:p>
        </w:tc>
        <w:tc>
          <w:tcPr>
            <w:tcW w:w="1080"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ascii="仿宋_GB2312" w:hAnsi="宋体" w:cs="宋体"/>
                <w:kern w:val="0"/>
                <w:sz w:val="24"/>
                <w:szCs w:val="24"/>
              </w:rPr>
            </w:pPr>
          </w:p>
        </w:tc>
        <w:tc>
          <w:tcPr>
            <w:tcW w:w="1080"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ascii="仿宋_GB2312" w:hAnsi="宋体" w:cs="宋体"/>
                <w:kern w:val="0"/>
                <w:sz w:val="24"/>
                <w:szCs w:val="24"/>
              </w:rPr>
            </w:pPr>
          </w:p>
        </w:tc>
        <w:tc>
          <w:tcPr>
            <w:tcW w:w="1260"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ascii="仿宋_GB2312" w:hAnsi="宋体" w:cs="宋体"/>
                <w:kern w:val="0"/>
                <w:sz w:val="24"/>
                <w:szCs w:val="24"/>
              </w:rPr>
            </w:pPr>
          </w:p>
        </w:tc>
        <w:tc>
          <w:tcPr>
            <w:tcW w:w="1620"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ascii="仿宋_GB2312" w:hAnsi="宋体" w:cs="宋体"/>
                <w:kern w:val="0"/>
                <w:sz w:val="24"/>
                <w:szCs w:val="24"/>
              </w:rPr>
            </w:pPr>
            <w:r>
              <w:rPr>
                <w:rFonts w:hint="eastAsia" w:ascii="仿宋_GB2312" w:hAnsi="宋体" w:cs="宋体"/>
                <w:kern w:val="0"/>
                <w:sz w:val="24"/>
                <w:szCs w:val="24"/>
              </w:rPr>
              <w:t>小  计</w:t>
            </w:r>
          </w:p>
        </w:tc>
        <w:tc>
          <w:tcPr>
            <w:tcW w:w="2960"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jc w:val="center"/>
              <w:rPr>
                <w:rFonts w:ascii="仿宋_GB2312" w:hAnsi="宋体" w:cs="宋体"/>
                <w:kern w:val="0"/>
                <w:sz w:val="24"/>
                <w:szCs w:val="24"/>
              </w:rPr>
            </w:pPr>
            <w:r>
              <w:rPr>
                <w:rFonts w:hint="eastAsia" w:ascii="仿宋_GB2312" w:hAnsi="宋体" w:cs="宋体"/>
                <w:kern w:val="0"/>
                <w:sz w:val="24"/>
                <w:szCs w:val="24"/>
              </w:rPr>
              <w:t>备    注</w:t>
            </w:r>
          </w:p>
        </w:tc>
      </w:tr>
      <w:tr>
        <w:tblPrEx>
          <w:tblCellMar>
            <w:top w:w="0" w:type="dxa"/>
            <w:left w:w="108" w:type="dxa"/>
            <w:bottom w:w="0" w:type="dxa"/>
            <w:right w:w="108" w:type="dxa"/>
          </w:tblCellMar>
        </w:tblPrEx>
        <w:trPr>
          <w:cantSplit/>
          <w:trHeight w:val="468" w:hRule="atLeast"/>
        </w:trPr>
        <w:tc>
          <w:tcPr>
            <w:tcW w:w="2540"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360" w:lineRule="auto"/>
              <w:jc w:val="left"/>
              <w:rPr>
                <w:rFonts w:ascii="仿宋_GB2312" w:hAnsi="宋体" w:cs="宋体"/>
                <w:kern w:val="0"/>
                <w:sz w:val="24"/>
                <w:szCs w:val="24"/>
              </w:rPr>
            </w:pPr>
          </w:p>
        </w:tc>
        <w:tc>
          <w:tcPr>
            <w:tcW w:w="12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仿宋_GB2312" w:hAnsi="宋体" w:cs="宋体"/>
                <w:kern w:val="0"/>
                <w:sz w:val="24"/>
                <w:szCs w:val="24"/>
              </w:rPr>
            </w:pPr>
          </w:p>
        </w:tc>
        <w:tc>
          <w:tcPr>
            <w:tcW w:w="10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仿宋_GB2312" w:hAnsi="宋体" w:cs="宋体"/>
                <w:kern w:val="0"/>
                <w:sz w:val="24"/>
                <w:szCs w:val="24"/>
              </w:rPr>
            </w:pPr>
          </w:p>
        </w:tc>
        <w:tc>
          <w:tcPr>
            <w:tcW w:w="10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仿宋_GB2312" w:hAnsi="宋体" w:cs="宋体"/>
                <w:kern w:val="0"/>
                <w:sz w:val="24"/>
                <w:szCs w:val="24"/>
              </w:rPr>
            </w:pPr>
          </w:p>
        </w:tc>
        <w:tc>
          <w:tcPr>
            <w:tcW w:w="10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仿宋_GB2312" w:hAnsi="宋体" w:cs="宋体"/>
                <w:kern w:val="0"/>
                <w:sz w:val="24"/>
                <w:szCs w:val="24"/>
              </w:rPr>
            </w:pPr>
          </w:p>
        </w:tc>
        <w:tc>
          <w:tcPr>
            <w:tcW w:w="10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仿宋_GB2312" w:hAnsi="宋体" w:cs="宋体"/>
                <w:kern w:val="0"/>
                <w:sz w:val="24"/>
                <w:szCs w:val="24"/>
              </w:rPr>
            </w:pPr>
          </w:p>
        </w:tc>
        <w:tc>
          <w:tcPr>
            <w:tcW w:w="12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仿宋_GB2312" w:hAnsi="宋体" w:cs="宋体"/>
                <w:kern w:val="0"/>
                <w:sz w:val="24"/>
                <w:szCs w:val="24"/>
              </w:rPr>
            </w:pPr>
          </w:p>
        </w:tc>
        <w:tc>
          <w:tcPr>
            <w:tcW w:w="16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仿宋_GB2312" w:hAnsi="宋体" w:cs="宋体"/>
                <w:kern w:val="0"/>
                <w:sz w:val="24"/>
                <w:szCs w:val="24"/>
              </w:rPr>
            </w:pPr>
          </w:p>
        </w:tc>
        <w:tc>
          <w:tcPr>
            <w:tcW w:w="29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仿宋_GB2312" w:hAnsi="宋体" w:cs="宋体"/>
                <w:kern w:val="0"/>
                <w:sz w:val="24"/>
                <w:szCs w:val="24"/>
              </w:rPr>
            </w:pPr>
          </w:p>
        </w:tc>
      </w:tr>
      <w:tr>
        <w:tblPrEx>
          <w:tblCellMar>
            <w:top w:w="0" w:type="dxa"/>
            <w:left w:w="108" w:type="dxa"/>
            <w:bottom w:w="0" w:type="dxa"/>
            <w:right w:w="108" w:type="dxa"/>
          </w:tblCellMar>
        </w:tblPrEx>
        <w:trPr>
          <w:trHeight w:val="284" w:hRule="exact"/>
        </w:trPr>
        <w:tc>
          <w:tcPr>
            <w:tcW w:w="12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测量</w:t>
            </w:r>
          </w:p>
        </w:tc>
        <w:tc>
          <w:tcPr>
            <w:tcW w:w="1300" w:type="dxa"/>
            <w:tcBorders>
              <w:top w:val="single" w:color="auto" w:sz="4" w:space="0"/>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平方公里</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宋体" w:cs="宋体"/>
                <w:kern w:val="0"/>
                <w:sz w:val="24"/>
                <w:szCs w:val="24"/>
              </w:rPr>
            </w:pPr>
          </w:p>
        </w:tc>
        <w:tc>
          <w:tcPr>
            <w:tcW w:w="1300"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元</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restart"/>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疏浚</w:t>
            </w: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立方米</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宋体" w:cs="宋体"/>
                <w:kern w:val="0"/>
                <w:sz w:val="24"/>
                <w:szCs w:val="24"/>
              </w:rPr>
            </w:pP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元</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整治建筑物修复</w:t>
            </w: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平方米</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宋体" w:cs="宋体"/>
                <w:kern w:val="0"/>
                <w:sz w:val="24"/>
                <w:szCs w:val="24"/>
              </w:rPr>
            </w:pP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元</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管理码头修复</w:t>
            </w: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座</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宋体" w:cs="宋体"/>
                <w:kern w:val="0"/>
                <w:sz w:val="24"/>
                <w:szCs w:val="24"/>
              </w:rPr>
            </w:pP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元</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restart"/>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系缆桩</w:t>
            </w:r>
          </w:p>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修复</w:t>
            </w: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个</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宋体" w:cs="宋体"/>
                <w:kern w:val="0"/>
                <w:sz w:val="24"/>
                <w:szCs w:val="24"/>
              </w:rPr>
            </w:pP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元</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restart"/>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航标维护</w:t>
            </w: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座/座次</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宋体" w:cs="宋体"/>
                <w:kern w:val="0"/>
                <w:sz w:val="24"/>
                <w:szCs w:val="24"/>
              </w:rPr>
            </w:pP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元</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无主碍航物清除</w:t>
            </w: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艘/吨位</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宋体" w:cs="宋体"/>
                <w:kern w:val="0"/>
                <w:sz w:val="24"/>
                <w:szCs w:val="24"/>
              </w:rPr>
            </w:pP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处/吨</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宋体" w:cs="宋体"/>
                <w:kern w:val="0"/>
                <w:sz w:val="24"/>
                <w:szCs w:val="24"/>
              </w:rPr>
            </w:pP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元</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restart"/>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绿化养护</w:t>
            </w:r>
          </w:p>
        </w:tc>
        <w:tc>
          <w:tcPr>
            <w:tcW w:w="1300" w:type="dxa"/>
            <w:tcBorders>
              <w:top w:val="nil"/>
              <w:left w:val="nil"/>
              <w:bottom w:val="single" w:color="auto" w:sz="4" w:space="0"/>
              <w:right w:val="single" w:color="auto" w:sz="4" w:space="0"/>
            </w:tcBorders>
            <w:noWrap/>
            <w:vAlign w:val="center"/>
          </w:tcPr>
          <w:p>
            <w:pPr>
              <w:widowControl/>
              <w:spacing w:line="240" w:lineRule="atLeast"/>
              <w:jc w:val="center"/>
              <w:rPr>
                <w:rFonts w:ascii="仿宋_GB2312" w:hAnsi="宋体" w:cs="宋体"/>
                <w:kern w:val="0"/>
                <w:sz w:val="24"/>
                <w:szCs w:val="24"/>
              </w:rPr>
            </w:pPr>
            <w:r>
              <w:rPr>
                <w:rFonts w:hint="eastAsia" w:ascii="仿宋_GB2312" w:hAnsi="宋体" w:cs="宋体"/>
                <w:kern w:val="0"/>
                <w:sz w:val="24"/>
                <w:szCs w:val="24"/>
              </w:rPr>
              <w:t>平方米</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cs="宋体"/>
                <w:kern w:val="0"/>
                <w:sz w:val="24"/>
                <w:szCs w:val="24"/>
              </w:rPr>
            </w:pPr>
          </w:p>
        </w:tc>
        <w:tc>
          <w:tcPr>
            <w:tcW w:w="1300" w:type="dxa"/>
            <w:tcBorders>
              <w:top w:val="nil"/>
              <w:left w:val="nil"/>
              <w:bottom w:val="single" w:color="auto" w:sz="4" w:space="0"/>
              <w:right w:val="single" w:color="auto" w:sz="4" w:space="0"/>
            </w:tcBorders>
            <w:noWrap/>
            <w:vAlign w:val="center"/>
          </w:tcPr>
          <w:p>
            <w:pPr>
              <w:widowControl/>
              <w:spacing w:line="360" w:lineRule="auto"/>
              <w:jc w:val="center"/>
              <w:rPr>
                <w:rFonts w:ascii="仿宋_GB2312" w:hAnsi="宋体" w:cs="宋体"/>
                <w:kern w:val="0"/>
                <w:sz w:val="24"/>
                <w:szCs w:val="24"/>
              </w:rPr>
            </w:pPr>
            <w:r>
              <w:rPr>
                <w:rFonts w:hint="eastAsia" w:ascii="仿宋_GB2312" w:hAnsi="宋体" w:cs="宋体"/>
                <w:kern w:val="0"/>
                <w:sz w:val="24"/>
                <w:szCs w:val="24"/>
              </w:rPr>
              <w:t>元</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4" w:hRule="exact"/>
        </w:trPr>
        <w:tc>
          <w:tcPr>
            <w:tcW w:w="254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_GB2312" w:hAnsi="宋体" w:cs="宋体"/>
                <w:kern w:val="0"/>
                <w:sz w:val="24"/>
                <w:szCs w:val="24"/>
              </w:rPr>
            </w:pPr>
            <w:r>
              <w:rPr>
                <w:rFonts w:hint="eastAsia" w:ascii="仿宋_GB2312" w:hAnsi="宋体" w:cs="宋体"/>
                <w:kern w:val="0"/>
                <w:sz w:val="24"/>
                <w:szCs w:val="24"/>
              </w:rPr>
              <w:t>合计金额（元）</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162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c>
          <w:tcPr>
            <w:tcW w:w="2960" w:type="dxa"/>
            <w:tcBorders>
              <w:top w:val="nil"/>
              <w:left w:val="nil"/>
              <w:bottom w:val="single" w:color="auto" w:sz="4" w:space="0"/>
              <w:right w:val="single" w:color="auto" w:sz="4" w:space="0"/>
            </w:tcBorders>
            <w:noWrap/>
            <w:vAlign w:val="center"/>
          </w:tcPr>
          <w:p>
            <w:pPr>
              <w:widowControl/>
              <w:spacing w:line="360" w:lineRule="auto"/>
              <w:jc w:val="left"/>
              <w:rPr>
                <w:rFonts w:ascii="仿宋_GB2312" w:hAnsi="宋体" w:cs="宋体"/>
                <w:kern w:val="0"/>
                <w:sz w:val="24"/>
                <w:szCs w:val="24"/>
              </w:rPr>
            </w:pPr>
            <w:r>
              <w:rPr>
                <w:rFonts w:hint="eastAsia" w:ascii="仿宋_GB2312" w:hAnsi="宋体" w:cs="宋体"/>
                <w:kern w:val="0"/>
                <w:sz w:val="24"/>
                <w:szCs w:val="24"/>
              </w:rPr>
              <w:t>　</w:t>
            </w:r>
          </w:p>
        </w:tc>
      </w:tr>
    </w:tbl>
    <w:p>
      <w:pPr>
        <w:adjustRightInd w:val="0"/>
        <w:snapToGrid w:val="0"/>
        <w:ind w:firstLine="480" w:firstLineChars="200"/>
        <w:rPr>
          <w:rFonts w:ascii="仿宋_GB2312"/>
          <w:sz w:val="24"/>
          <w:szCs w:val="21"/>
        </w:rPr>
      </w:pPr>
      <w:r>
        <w:rPr>
          <w:rFonts w:hint="eastAsia" w:ascii="仿宋_GB2312"/>
          <w:sz w:val="24"/>
          <w:szCs w:val="21"/>
        </w:rPr>
        <w:t>注：1.本市辖区内河骨干航道：     公里。航道巡查里程数：      公里，参加巡查人员：         人次，发送联系单数：      份。</w:t>
      </w:r>
    </w:p>
    <w:p>
      <w:pPr>
        <w:adjustRightInd w:val="0"/>
        <w:snapToGrid w:val="0"/>
        <w:ind w:firstLine="600" w:firstLineChars="250"/>
        <w:rPr>
          <w:rFonts w:ascii="仿宋_GB2312"/>
          <w:sz w:val="24"/>
          <w:szCs w:val="21"/>
        </w:rPr>
      </w:pPr>
      <w:r>
        <w:rPr>
          <w:rFonts w:hint="eastAsia" w:ascii="仿宋_GB2312"/>
          <w:sz w:val="24"/>
          <w:szCs w:val="21"/>
        </w:rPr>
        <w:t xml:space="preserve">  2.本表是指已经完成的养护工作量。</w:t>
      </w:r>
    </w:p>
    <w:p>
      <w:pPr>
        <w:adjustRightInd w:val="0"/>
        <w:snapToGrid w:val="0"/>
        <w:rPr>
          <w:rFonts w:hint="eastAsia" w:ascii="黑体" w:eastAsia="黑体"/>
          <w:bCs/>
          <w:szCs w:val="32"/>
        </w:rPr>
      </w:pPr>
      <w:r>
        <w:rPr>
          <w:rFonts w:hint="eastAsia" w:ascii="黑体" w:eastAsia="黑体"/>
          <w:bCs/>
          <w:szCs w:val="32"/>
        </w:rPr>
        <w:t>附件4</w:t>
      </w:r>
    </w:p>
    <w:p>
      <w:pPr>
        <w:adjustRightInd w:val="0"/>
        <w:snapToGrid w:val="0"/>
        <w:jc w:val="center"/>
        <w:rPr>
          <w:rFonts w:hint="eastAsia" w:ascii="方正小标宋简体" w:eastAsia="方正小标宋简体"/>
          <w:bCs/>
          <w:sz w:val="44"/>
        </w:rPr>
      </w:pPr>
      <w:r>
        <w:rPr>
          <w:rFonts w:hint="eastAsia" w:ascii="方正小标宋简体" w:eastAsia="方正小标宋简体"/>
          <w:bCs/>
          <w:sz w:val="44"/>
        </w:rPr>
        <w:t>全航区其他航道例行养护工作统计表</w:t>
      </w:r>
    </w:p>
    <w:p>
      <w:pPr>
        <w:adjustRightInd w:val="0"/>
        <w:snapToGrid w:val="0"/>
        <w:rPr>
          <w:rFonts w:hint="eastAsia" w:ascii="仿宋_GB2312"/>
          <w:sz w:val="28"/>
          <w:szCs w:val="28"/>
        </w:rPr>
      </w:pPr>
      <w:r>
        <w:rPr>
          <w:rFonts w:hint="eastAsia" w:ascii="仿宋_GB2312"/>
          <w:bCs/>
          <w:sz w:val="28"/>
          <w:szCs w:val="28"/>
        </w:rPr>
        <w:t>单位（公章）：                                                                              年    季</w:t>
      </w:r>
      <w:r>
        <w:rPr>
          <w:rFonts w:hint="eastAsia" w:ascii="仿宋_GB2312"/>
          <w:sz w:val="28"/>
          <w:szCs w:val="28"/>
        </w:rPr>
        <w:t xml:space="preserve">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440"/>
        <w:gridCol w:w="1619"/>
        <w:gridCol w:w="1440"/>
        <w:gridCol w:w="1979"/>
        <w:gridCol w:w="1622"/>
        <w:gridCol w:w="1800"/>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jc w:val="center"/>
        </w:trPr>
        <w:tc>
          <w:tcPr>
            <w:tcW w:w="737" w:type="pct"/>
            <w:vMerge w:val="restart"/>
            <w:noWrap w:val="0"/>
            <w:vAlign w:val="center"/>
          </w:tcPr>
          <w:p>
            <w:pPr>
              <w:adjustRightInd w:val="0"/>
              <w:snapToGrid w:val="0"/>
              <w:spacing w:line="440" w:lineRule="exact"/>
              <w:jc w:val="center"/>
              <w:rPr>
                <w:rFonts w:ascii="仿宋_GB2312"/>
                <w:sz w:val="28"/>
                <w:szCs w:val="28"/>
              </w:rPr>
            </w:pPr>
            <w:r>
              <w:rPr>
                <w:rFonts w:hint="eastAsia" w:ascii="仿宋_GB2312"/>
                <w:sz w:val="28"/>
                <w:szCs w:val="28"/>
              </w:rPr>
              <w:t>项   目</w:t>
            </w:r>
          </w:p>
        </w:tc>
        <w:tc>
          <w:tcPr>
            <w:tcW w:w="508" w:type="pct"/>
            <w:vMerge w:val="restart"/>
            <w:noWrap w:val="0"/>
            <w:vAlign w:val="center"/>
          </w:tcPr>
          <w:p>
            <w:pPr>
              <w:adjustRightInd w:val="0"/>
              <w:snapToGrid w:val="0"/>
              <w:spacing w:line="440" w:lineRule="exact"/>
              <w:jc w:val="center"/>
              <w:rPr>
                <w:rFonts w:ascii="仿宋_GB2312"/>
                <w:sz w:val="28"/>
                <w:szCs w:val="28"/>
              </w:rPr>
            </w:pPr>
            <w:r>
              <w:rPr>
                <w:rFonts w:hint="eastAsia" w:ascii="仿宋_GB2312"/>
                <w:sz w:val="28"/>
                <w:szCs w:val="28"/>
              </w:rPr>
              <w:t>计量单位</w:t>
            </w:r>
          </w:p>
        </w:tc>
        <w:tc>
          <w:tcPr>
            <w:tcW w:w="571" w:type="pct"/>
            <w:vMerge w:val="restart"/>
            <w:noWrap w:val="0"/>
            <w:vAlign w:val="center"/>
          </w:tcPr>
          <w:p>
            <w:pPr>
              <w:adjustRightInd w:val="0"/>
              <w:snapToGrid w:val="0"/>
              <w:spacing w:line="440" w:lineRule="exact"/>
              <w:jc w:val="center"/>
              <w:rPr>
                <w:rFonts w:ascii="仿宋_GB2312"/>
                <w:sz w:val="28"/>
                <w:szCs w:val="28"/>
              </w:rPr>
            </w:pPr>
            <w:r>
              <w:rPr>
                <w:rFonts w:hint="eastAsia" w:ascii="仿宋_GB2312"/>
                <w:sz w:val="28"/>
                <w:szCs w:val="28"/>
              </w:rPr>
              <w:t>计划数量</w:t>
            </w:r>
          </w:p>
        </w:tc>
        <w:tc>
          <w:tcPr>
            <w:tcW w:w="1206" w:type="pct"/>
            <w:gridSpan w:val="2"/>
            <w:noWrap w:val="0"/>
            <w:vAlign w:val="center"/>
          </w:tcPr>
          <w:p>
            <w:pPr>
              <w:adjustRightInd w:val="0"/>
              <w:snapToGrid w:val="0"/>
              <w:spacing w:line="440" w:lineRule="exact"/>
              <w:jc w:val="center"/>
              <w:rPr>
                <w:rFonts w:ascii="仿宋_GB2312"/>
                <w:sz w:val="28"/>
                <w:szCs w:val="28"/>
              </w:rPr>
            </w:pPr>
            <w:r>
              <w:rPr>
                <w:rFonts w:hint="eastAsia" w:ascii="仿宋_GB2312"/>
                <w:sz w:val="28"/>
                <w:szCs w:val="28"/>
              </w:rPr>
              <w:t>完成工程数量</w:t>
            </w:r>
          </w:p>
        </w:tc>
        <w:tc>
          <w:tcPr>
            <w:tcW w:w="1207" w:type="pct"/>
            <w:gridSpan w:val="2"/>
            <w:noWrap w:val="0"/>
            <w:vAlign w:val="center"/>
          </w:tcPr>
          <w:p>
            <w:pPr>
              <w:adjustRightInd w:val="0"/>
              <w:snapToGrid w:val="0"/>
              <w:spacing w:line="440" w:lineRule="exact"/>
              <w:jc w:val="center"/>
              <w:rPr>
                <w:rFonts w:ascii="仿宋_GB2312"/>
                <w:sz w:val="28"/>
                <w:szCs w:val="28"/>
              </w:rPr>
            </w:pPr>
            <w:r>
              <w:rPr>
                <w:rFonts w:hint="eastAsia" w:ascii="仿宋_GB2312"/>
                <w:sz w:val="28"/>
                <w:szCs w:val="28"/>
              </w:rPr>
              <w:t>完成金额（万元）</w:t>
            </w:r>
          </w:p>
        </w:tc>
        <w:tc>
          <w:tcPr>
            <w:tcW w:w="771" w:type="pct"/>
            <w:vMerge w:val="restart"/>
            <w:noWrap w:val="0"/>
            <w:vAlign w:val="center"/>
          </w:tcPr>
          <w:p>
            <w:pPr>
              <w:adjustRightInd w:val="0"/>
              <w:snapToGrid w:val="0"/>
              <w:spacing w:line="440" w:lineRule="exact"/>
              <w:jc w:val="center"/>
              <w:rPr>
                <w:rFonts w:ascii="仿宋_GB2312"/>
                <w:sz w:val="28"/>
                <w:szCs w:val="28"/>
              </w:rPr>
            </w:pPr>
            <w:r>
              <w:rPr>
                <w:rFonts w:hint="eastAsia" w:ascii="仿宋_GB2312"/>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737" w:type="pct"/>
            <w:vMerge w:val="continue"/>
            <w:noWrap w:val="0"/>
            <w:vAlign w:val="center"/>
          </w:tcPr>
          <w:p>
            <w:pPr>
              <w:adjustRightInd w:val="0"/>
              <w:snapToGrid w:val="0"/>
              <w:spacing w:line="440" w:lineRule="exact"/>
              <w:rPr>
                <w:rFonts w:ascii="仿宋_GB2312"/>
                <w:sz w:val="28"/>
                <w:szCs w:val="28"/>
              </w:rPr>
            </w:pPr>
          </w:p>
        </w:tc>
        <w:tc>
          <w:tcPr>
            <w:tcW w:w="508" w:type="pct"/>
            <w:vMerge w:val="continue"/>
            <w:noWrap w:val="0"/>
            <w:vAlign w:val="center"/>
          </w:tcPr>
          <w:p>
            <w:pPr>
              <w:adjustRightInd w:val="0"/>
              <w:snapToGrid w:val="0"/>
              <w:spacing w:line="440" w:lineRule="exact"/>
              <w:jc w:val="center"/>
              <w:rPr>
                <w:rFonts w:ascii="仿宋_GB2312"/>
                <w:sz w:val="28"/>
                <w:szCs w:val="28"/>
              </w:rPr>
            </w:pPr>
          </w:p>
        </w:tc>
        <w:tc>
          <w:tcPr>
            <w:tcW w:w="571" w:type="pct"/>
            <w:vMerge w:val="continue"/>
            <w:noWrap w:val="0"/>
            <w:vAlign w:val="center"/>
          </w:tcPr>
          <w:p>
            <w:pPr>
              <w:adjustRightInd w:val="0"/>
              <w:snapToGrid w:val="0"/>
              <w:spacing w:line="440" w:lineRule="exact"/>
              <w:jc w:val="center"/>
              <w:rPr>
                <w:rFonts w:ascii="仿宋_GB2312"/>
                <w:sz w:val="28"/>
                <w:szCs w:val="28"/>
              </w:rPr>
            </w:pPr>
          </w:p>
        </w:tc>
        <w:tc>
          <w:tcPr>
            <w:tcW w:w="508" w:type="pct"/>
            <w:noWrap w:val="0"/>
            <w:vAlign w:val="center"/>
          </w:tcPr>
          <w:p>
            <w:pPr>
              <w:adjustRightInd w:val="0"/>
              <w:snapToGrid w:val="0"/>
              <w:spacing w:line="440" w:lineRule="exact"/>
              <w:jc w:val="center"/>
              <w:rPr>
                <w:rFonts w:ascii="仿宋_GB2312"/>
                <w:sz w:val="28"/>
                <w:szCs w:val="28"/>
              </w:rPr>
            </w:pPr>
            <w:r>
              <w:rPr>
                <w:rFonts w:hint="eastAsia" w:ascii="仿宋_GB2312"/>
                <w:sz w:val="28"/>
                <w:szCs w:val="28"/>
              </w:rPr>
              <w:t>本季度</w:t>
            </w:r>
          </w:p>
        </w:tc>
        <w:tc>
          <w:tcPr>
            <w:tcW w:w="698" w:type="pct"/>
            <w:noWrap w:val="0"/>
            <w:vAlign w:val="center"/>
          </w:tcPr>
          <w:p>
            <w:pPr>
              <w:adjustRightInd w:val="0"/>
              <w:snapToGrid w:val="0"/>
              <w:spacing w:line="440" w:lineRule="exact"/>
              <w:jc w:val="center"/>
              <w:rPr>
                <w:rFonts w:ascii="仿宋_GB2312"/>
                <w:sz w:val="28"/>
                <w:szCs w:val="28"/>
              </w:rPr>
            </w:pPr>
            <w:r>
              <w:rPr>
                <w:rFonts w:hint="eastAsia" w:ascii="仿宋_GB2312"/>
                <w:sz w:val="28"/>
                <w:szCs w:val="28"/>
              </w:rPr>
              <w:t>自年初累计</w:t>
            </w:r>
          </w:p>
        </w:tc>
        <w:tc>
          <w:tcPr>
            <w:tcW w:w="572" w:type="pct"/>
            <w:noWrap w:val="0"/>
            <w:vAlign w:val="center"/>
          </w:tcPr>
          <w:p>
            <w:pPr>
              <w:adjustRightInd w:val="0"/>
              <w:snapToGrid w:val="0"/>
              <w:spacing w:line="440" w:lineRule="exact"/>
              <w:jc w:val="center"/>
              <w:rPr>
                <w:rFonts w:ascii="仿宋_GB2312"/>
                <w:sz w:val="28"/>
                <w:szCs w:val="28"/>
              </w:rPr>
            </w:pPr>
            <w:r>
              <w:rPr>
                <w:rFonts w:hint="eastAsia" w:ascii="仿宋_GB2312"/>
                <w:sz w:val="28"/>
                <w:szCs w:val="28"/>
              </w:rPr>
              <w:t>本季度</w:t>
            </w:r>
          </w:p>
        </w:tc>
        <w:tc>
          <w:tcPr>
            <w:tcW w:w="635" w:type="pct"/>
            <w:noWrap w:val="0"/>
            <w:vAlign w:val="center"/>
          </w:tcPr>
          <w:p>
            <w:pPr>
              <w:adjustRightInd w:val="0"/>
              <w:snapToGrid w:val="0"/>
              <w:spacing w:line="440" w:lineRule="exact"/>
              <w:jc w:val="center"/>
              <w:rPr>
                <w:rFonts w:ascii="仿宋_GB2312"/>
                <w:sz w:val="28"/>
                <w:szCs w:val="28"/>
              </w:rPr>
            </w:pPr>
            <w:r>
              <w:rPr>
                <w:rFonts w:hint="eastAsia" w:ascii="仿宋_GB2312"/>
                <w:sz w:val="28"/>
                <w:szCs w:val="28"/>
              </w:rPr>
              <w:t>自年初累计</w:t>
            </w:r>
          </w:p>
        </w:tc>
        <w:tc>
          <w:tcPr>
            <w:tcW w:w="771" w:type="pct"/>
            <w:vMerge w:val="continue"/>
            <w:noWrap w:val="0"/>
            <w:vAlign w:val="center"/>
          </w:tcPr>
          <w:p>
            <w:pPr>
              <w:adjustRightInd w:val="0"/>
              <w:snapToGrid w:val="0"/>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7"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测量</w:t>
            </w:r>
          </w:p>
        </w:tc>
        <w:tc>
          <w:tcPr>
            <w:tcW w:w="508"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平方公里</w:t>
            </w:r>
          </w:p>
        </w:tc>
        <w:tc>
          <w:tcPr>
            <w:tcW w:w="571" w:type="pct"/>
            <w:noWrap w:val="0"/>
            <w:vAlign w:val="center"/>
          </w:tcPr>
          <w:p>
            <w:pPr>
              <w:adjustRightInd w:val="0"/>
              <w:snapToGrid w:val="0"/>
              <w:spacing w:line="440" w:lineRule="exact"/>
              <w:jc w:val="center"/>
              <w:rPr>
                <w:rFonts w:ascii="仿宋_GB2312"/>
                <w:sz w:val="28"/>
                <w:szCs w:val="28"/>
              </w:rPr>
            </w:pPr>
          </w:p>
        </w:tc>
        <w:tc>
          <w:tcPr>
            <w:tcW w:w="508" w:type="pct"/>
            <w:noWrap w:val="0"/>
            <w:vAlign w:val="center"/>
          </w:tcPr>
          <w:p>
            <w:pPr>
              <w:adjustRightInd w:val="0"/>
              <w:snapToGrid w:val="0"/>
              <w:spacing w:line="440" w:lineRule="exact"/>
              <w:jc w:val="center"/>
              <w:rPr>
                <w:rFonts w:ascii="仿宋_GB2312"/>
                <w:sz w:val="28"/>
                <w:szCs w:val="28"/>
              </w:rPr>
            </w:pPr>
          </w:p>
        </w:tc>
        <w:tc>
          <w:tcPr>
            <w:tcW w:w="698" w:type="pct"/>
            <w:noWrap w:val="0"/>
            <w:vAlign w:val="center"/>
          </w:tcPr>
          <w:p>
            <w:pPr>
              <w:adjustRightInd w:val="0"/>
              <w:snapToGrid w:val="0"/>
              <w:spacing w:line="440" w:lineRule="exact"/>
              <w:jc w:val="center"/>
              <w:rPr>
                <w:rFonts w:ascii="仿宋_GB2312"/>
                <w:sz w:val="28"/>
                <w:szCs w:val="28"/>
              </w:rPr>
            </w:pPr>
          </w:p>
        </w:tc>
        <w:tc>
          <w:tcPr>
            <w:tcW w:w="572" w:type="pct"/>
            <w:noWrap w:val="0"/>
            <w:vAlign w:val="center"/>
          </w:tcPr>
          <w:p>
            <w:pPr>
              <w:adjustRightInd w:val="0"/>
              <w:snapToGrid w:val="0"/>
              <w:spacing w:line="440" w:lineRule="exact"/>
              <w:jc w:val="center"/>
              <w:rPr>
                <w:rFonts w:ascii="仿宋_GB2312"/>
                <w:sz w:val="28"/>
                <w:szCs w:val="28"/>
              </w:rPr>
            </w:pPr>
          </w:p>
        </w:tc>
        <w:tc>
          <w:tcPr>
            <w:tcW w:w="635" w:type="pct"/>
            <w:noWrap w:val="0"/>
            <w:vAlign w:val="center"/>
          </w:tcPr>
          <w:p>
            <w:pPr>
              <w:adjustRightInd w:val="0"/>
              <w:snapToGrid w:val="0"/>
              <w:spacing w:line="440" w:lineRule="exact"/>
              <w:jc w:val="center"/>
              <w:rPr>
                <w:rFonts w:ascii="仿宋_GB2312"/>
                <w:sz w:val="28"/>
                <w:szCs w:val="28"/>
              </w:rPr>
            </w:pPr>
          </w:p>
        </w:tc>
        <w:tc>
          <w:tcPr>
            <w:tcW w:w="771" w:type="pct"/>
            <w:noWrap w:val="0"/>
            <w:vAlign w:val="center"/>
          </w:tcPr>
          <w:p>
            <w:pPr>
              <w:adjustRightInd w:val="0"/>
              <w:snapToGrid w:val="0"/>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7"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碍航疏浚</w:t>
            </w:r>
          </w:p>
        </w:tc>
        <w:tc>
          <w:tcPr>
            <w:tcW w:w="508"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立方米</w:t>
            </w:r>
          </w:p>
        </w:tc>
        <w:tc>
          <w:tcPr>
            <w:tcW w:w="571" w:type="pct"/>
            <w:noWrap w:val="0"/>
            <w:vAlign w:val="center"/>
          </w:tcPr>
          <w:p>
            <w:pPr>
              <w:adjustRightInd w:val="0"/>
              <w:snapToGrid w:val="0"/>
              <w:spacing w:line="440" w:lineRule="exact"/>
              <w:jc w:val="center"/>
              <w:rPr>
                <w:rFonts w:ascii="仿宋_GB2312"/>
                <w:sz w:val="28"/>
                <w:szCs w:val="28"/>
              </w:rPr>
            </w:pPr>
          </w:p>
        </w:tc>
        <w:tc>
          <w:tcPr>
            <w:tcW w:w="508" w:type="pct"/>
            <w:noWrap w:val="0"/>
            <w:vAlign w:val="center"/>
          </w:tcPr>
          <w:p>
            <w:pPr>
              <w:adjustRightInd w:val="0"/>
              <w:snapToGrid w:val="0"/>
              <w:spacing w:line="440" w:lineRule="exact"/>
              <w:jc w:val="center"/>
              <w:rPr>
                <w:rFonts w:ascii="仿宋_GB2312"/>
                <w:sz w:val="28"/>
                <w:szCs w:val="28"/>
              </w:rPr>
            </w:pPr>
          </w:p>
        </w:tc>
        <w:tc>
          <w:tcPr>
            <w:tcW w:w="698" w:type="pct"/>
            <w:noWrap w:val="0"/>
            <w:vAlign w:val="center"/>
          </w:tcPr>
          <w:p>
            <w:pPr>
              <w:adjustRightInd w:val="0"/>
              <w:snapToGrid w:val="0"/>
              <w:spacing w:line="440" w:lineRule="exact"/>
              <w:jc w:val="center"/>
              <w:rPr>
                <w:rFonts w:ascii="仿宋_GB2312"/>
                <w:sz w:val="28"/>
                <w:szCs w:val="28"/>
              </w:rPr>
            </w:pPr>
          </w:p>
        </w:tc>
        <w:tc>
          <w:tcPr>
            <w:tcW w:w="572" w:type="pct"/>
            <w:noWrap w:val="0"/>
            <w:vAlign w:val="center"/>
          </w:tcPr>
          <w:p>
            <w:pPr>
              <w:adjustRightInd w:val="0"/>
              <w:snapToGrid w:val="0"/>
              <w:spacing w:line="440" w:lineRule="exact"/>
              <w:jc w:val="center"/>
              <w:rPr>
                <w:rFonts w:ascii="仿宋_GB2312"/>
                <w:sz w:val="28"/>
                <w:szCs w:val="28"/>
              </w:rPr>
            </w:pPr>
          </w:p>
        </w:tc>
        <w:tc>
          <w:tcPr>
            <w:tcW w:w="635" w:type="pct"/>
            <w:noWrap w:val="0"/>
            <w:vAlign w:val="center"/>
          </w:tcPr>
          <w:p>
            <w:pPr>
              <w:adjustRightInd w:val="0"/>
              <w:snapToGrid w:val="0"/>
              <w:spacing w:line="440" w:lineRule="exact"/>
              <w:jc w:val="center"/>
              <w:rPr>
                <w:rFonts w:ascii="仿宋_GB2312"/>
                <w:sz w:val="28"/>
                <w:szCs w:val="28"/>
              </w:rPr>
            </w:pPr>
          </w:p>
        </w:tc>
        <w:tc>
          <w:tcPr>
            <w:tcW w:w="771" w:type="pct"/>
            <w:noWrap w:val="0"/>
            <w:vAlign w:val="center"/>
          </w:tcPr>
          <w:p>
            <w:pPr>
              <w:adjustRightInd w:val="0"/>
              <w:snapToGrid w:val="0"/>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jc w:val="center"/>
        </w:trPr>
        <w:tc>
          <w:tcPr>
            <w:tcW w:w="737"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整治建筑物</w:t>
            </w:r>
          </w:p>
          <w:p>
            <w:pPr>
              <w:adjustRightInd w:val="0"/>
              <w:snapToGrid w:val="0"/>
              <w:spacing w:line="240" w:lineRule="atLeast"/>
              <w:jc w:val="center"/>
              <w:rPr>
                <w:rFonts w:ascii="仿宋_GB2312"/>
                <w:sz w:val="28"/>
                <w:szCs w:val="28"/>
              </w:rPr>
            </w:pPr>
            <w:r>
              <w:rPr>
                <w:rFonts w:hint="eastAsia" w:ascii="仿宋_GB2312"/>
                <w:sz w:val="28"/>
                <w:szCs w:val="28"/>
              </w:rPr>
              <w:t>修复</w:t>
            </w:r>
          </w:p>
        </w:tc>
        <w:tc>
          <w:tcPr>
            <w:tcW w:w="508"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平方米</w:t>
            </w:r>
          </w:p>
        </w:tc>
        <w:tc>
          <w:tcPr>
            <w:tcW w:w="571" w:type="pct"/>
            <w:noWrap w:val="0"/>
            <w:vAlign w:val="center"/>
          </w:tcPr>
          <w:p>
            <w:pPr>
              <w:adjustRightInd w:val="0"/>
              <w:snapToGrid w:val="0"/>
              <w:spacing w:line="440" w:lineRule="exact"/>
              <w:jc w:val="center"/>
              <w:rPr>
                <w:rFonts w:ascii="仿宋_GB2312"/>
                <w:sz w:val="28"/>
                <w:szCs w:val="28"/>
              </w:rPr>
            </w:pPr>
          </w:p>
        </w:tc>
        <w:tc>
          <w:tcPr>
            <w:tcW w:w="508" w:type="pct"/>
            <w:noWrap w:val="0"/>
            <w:vAlign w:val="center"/>
          </w:tcPr>
          <w:p>
            <w:pPr>
              <w:adjustRightInd w:val="0"/>
              <w:snapToGrid w:val="0"/>
              <w:spacing w:line="440" w:lineRule="exact"/>
              <w:jc w:val="center"/>
              <w:rPr>
                <w:rFonts w:ascii="仿宋_GB2312"/>
                <w:sz w:val="28"/>
                <w:szCs w:val="28"/>
              </w:rPr>
            </w:pPr>
          </w:p>
        </w:tc>
        <w:tc>
          <w:tcPr>
            <w:tcW w:w="698" w:type="pct"/>
            <w:noWrap w:val="0"/>
            <w:vAlign w:val="center"/>
          </w:tcPr>
          <w:p>
            <w:pPr>
              <w:adjustRightInd w:val="0"/>
              <w:snapToGrid w:val="0"/>
              <w:spacing w:line="440" w:lineRule="exact"/>
              <w:jc w:val="center"/>
              <w:rPr>
                <w:rFonts w:ascii="仿宋_GB2312"/>
                <w:sz w:val="28"/>
                <w:szCs w:val="28"/>
              </w:rPr>
            </w:pPr>
          </w:p>
        </w:tc>
        <w:tc>
          <w:tcPr>
            <w:tcW w:w="572" w:type="pct"/>
            <w:noWrap w:val="0"/>
            <w:vAlign w:val="center"/>
          </w:tcPr>
          <w:p>
            <w:pPr>
              <w:adjustRightInd w:val="0"/>
              <w:snapToGrid w:val="0"/>
              <w:spacing w:line="440" w:lineRule="exact"/>
              <w:jc w:val="center"/>
              <w:rPr>
                <w:rFonts w:ascii="仿宋_GB2312"/>
                <w:sz w:val="28"/>
                <w:szCs w:val="28"/>
              </w:rPr>
            </w:pPr>
          </w:p>
        </w:tc>
        <w:tc>
          <w:tcPr>
            <w:tcW w:w="635" w:type="pct"/>
            <w:noWrap w:val="0"/>
            <w:vAlign w:val="center"/>
          </w:tcPr>
          <w:p>
            <w:pPr>
              <w:adjustRightInd w:val="0"/>
              <w:snapToGrid w:val="0"/>
              <w:spacing w:line="440" w:lineRule="exact"/>
              <w:jc w:val="center"/>
              <w:rPr>
                <w:rFonts w:ascii="仿宋_GB2312"/>
                <w:sz w:val="28"/>
                <w:szCs w:val="28"/>
              </w:rPr>
            </w:pPr>
          </w:p>
        </w:tc>
        <w:tc>
          <w:tcPr>
            <w:tcW w:w="771" w:type="pct"/>
            <w:noWrap w:val="0"/>
            <w:vAlign w:val="center"/>
          </w:tcPr>
          <w:p>
            <w:pPr>
              <w:adjustRightInd w:val="0"/>
              <w:snapToGrid w:val="0"/>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737"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维修管理码头</w:t>
            </w:r>
          </w:p>
        </w:tc>
        <w:tc>
          <w:tcPr>
            <w:tcW w:w="508"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座</w:t>
            </w:r>
          </w:p>
        </w:tc>
        <w:tc>
          <w:tcPr>
            <w:tcW w:w="571" w:type="pct"/>
            <w:noWrap w:val="0"/>
            <w:vAlign w:val="center"/>
          </w:tcPr>
          <w:p>
            <w:pPr>
              <w:adjustRightInd w:val="0"/>
              <w:snapToGrid w:val="0"/>
              <w:spacing w:line="440" w:lineRule="exact"/>
              <w:jc w:val="center"/>
              <w:rPr>
                <w:rFonts w:ascii="仿宋_GB2312"/>
                <w:sz w:val="28"/>
                <w:szCs w:val="28"/>
              </w:rPr>
            </w:pPr>
          </w:p>
        </w:tc>
        <w:tc>
          <w:tcPr>
            <w:tcW w:w="508" w:type="pct"/>
            <w:noWrap w:val="0"/>
            <w:vAlign w:val="center"/>
          </w:tcPr>
          <w:p>
            <w:pPr>
              <w:adjustRightInd w:val="0"/>
              <w:snapToGrid w:val="0"/>
              <w:spacing w:line="440" w:lineRule="exact"/>
              <w:jc w:val="center"/>
              <w:rPr>
                <w:rFonts w:ascii="仿宋_GB2312"/>
                <w:sz w:val="28"/>
                <w:szCs w:val="28"/>
              </w:rPr>
            </w:pPr>
          </w:p>
        </w:tc>
        <w:tc>
          <w:tcPr>
            <w:tcW w:w="698" w:type="pct"/>
            <w:noWrap w:val="0"/>
            <w:vAlign w:val="center"/>
          </w:tcPr>
          <w:p>
            <w:pPr>
              <w:adjustRightInd w:val="0"/>
              <w:snapToGrid w:val="0"/>
              <w:spacing w:line="440" w:lineRule="exact"/>
              <w:jc w:val="center"/>
              <w:rPr>
                <w:rFonts w:ascii="仿宋_GB2312"/>
                <w:sz w:val="28"/>
                <w:szCs w:val="28"/>
              </w:rPr>
            </w:pPr>
          </w:p>
        </w:tc>
        <w:tc>
          <w:tcPr>
            <w:tcW w:w="572" w:type="pct"/>
            <w:noWrap w:val="0"/>
            <w:vAlign w:val="center"/>
          </w:tcPr>
          <w:p>
            <w:pPr>
              <w:adjustRightInd w:val="0"/>
              <w:snapToGrid w:val="0"/>
              <w:spacing w:line="440" w:lineRule="exact"/>
              <w:jc w:val="center"/>
              <w:rPr>
                <w:rFonts w:ascii="仿宋_GB2312"/>
                <w:sz w:val="28"/>
                <w:szCs w:val="28"/>
              </w:rPr>
            </w:pPr>
          </w:p>
        </w:tc>
        <w:tc>
          <w:tcPr>
            <w:tcW w:w="635" w:type="pct"/>
            <w:noWrap w:val="0"/>
            <w:vAlign w:val="center"/>
          </w:tcPr>
          <w:p>
            <w:pPr>
              <w:adjustRightInd w:val="0"/>
              <w:snapToGrid w:val="0"/>
              <w:spacing w:line="440" w:lineRule="exact"/>
              <w:jc w:val="center"/>
              <w:rPr>
                <w:rFonts w:ascii="仿宋_GB2312"/>
                <w:sz w:val="28"/>
                <w:szCs w:val="28"/>
              </w:rPr>
            </w:pPr>
          </w:p>
        </w:tc>
        <w:tc>
          <w:tcPr>
            <w:tcW w:w="771" w:type="pct"/>
            <w:noWrap w:val="0"/>
            <w:vAlign w:val="center"/>
          </w:tcPr>
          <w:p>
            <w:pPr>
              <w:adjustRightInd w:val="0"/>
              <w:snapToGrid w:val="0"/>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7"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航标维护</w:t>
            </w:r>
          </w:p>
        </w:tc>
        <w:tc>
          <w:tcPr>
            <w:tcW w:w="508"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座/座次</w:t>
            </w:r>
          </w:p>
        </w:tc>
        <w:tc>
          <w:tcPr>
            <w:tcW w:w="571" w:type="pct"/>
            <w:noWrap w:val="0"/>
            <w:vAlign w:val="center"/>
          </w:tcPr>
          <w:p>
            <w:pPr>
              <w:adjustRightInd w:val="0"/>
              <w:snapToGrid w:val="0"/>
              <w:spacing w:line="440" w:lineRule="exact"/>
              <w:jc w:val="center"/>
              <w:rPr>
                <w:rFonts w:ascii="仿宋_GB2312"/>
                <w:sz w:val="28"/>
                <w:szCs w:val="28"/>
              </w:rPr>
            </w:pPr>
          </w:p>
        </w:tc>
        <w:tc>
          <w:tcPr>
            <w:tcW w:w="508" w:type="pct"/>
            <w:noWrap w:val="0"/>
            <w:vAlign w:val="center"/>
          </w:tcPr>
          <w:p>
            <w:pPr>
              <w:adjustRightInd w:val="0"/>
              <w:snapToGrid w:val="0"/>
              <w:spacing w:line="440" w:lineRule="exact"/>
              <w:jc w:val="center"/>
              <w:rPr>
                <w:rFonts w:ascii="仿宋_GB2312"/>
                <w:sz w:val="28"/>
                <w:szCs w:val="28"/>
              </w:rPr>
            </w:pPr>
          </w:p>
        </w:tc>
        <w:tc>
          <w:tcPr>
            <w:tcW w:w="698" w:type="pct"/>
            <w:noWrap w:val="0"/>
            <w:vAlign w:val="center"/>
          </w:tcPr>
          <w:p>
            <w:pPr>
              <w:adjustRightInd w:val="0"/>
              <w:snapToGrid w:val="0"/>
              <w:spacing w:line="440" w:lineRule="exact"/>
              <w:jc w:val="center"/>
              <w:rPr>
                <w:rFonts w:ascii="仿宋_GB2312"/>
                <w:sz w:val="28"/>
                <w:szCs w:val="28"/>
              </w:rPr>
            </w:pPr>
          </w:p>
        </w:tc>
        <w:tc>
          <w:tcPr>
            <w:tcW w:w="572" w:type="pct"/>
            <w:noWrap w:val="0"/>
            <w:vAlign w:val="center"/>
          </w:tcPr>
          <w:p>
            <w:pPr>
              <w:adjustRightInd w:val="0"/>
              <w:snapToGrid w:val="0"/>
              <w:spacing w:line="440" w:lineRule="exact"/>
              <w:jc w:val="center"/>
              <w:rPr>
                <w:rFonts w:ascii="仿宋_GB2312"/>
                <w:sz w:val="28"/>
                <w:szCs w:val="28"/>
              </w:rPr>
            </w:pPr>
          </w:p>
        </w:tc>
        <w:tc>
          <w:tcPr>
            <w:tcW w:w="635" w:type="pct"/>
            <w:noWrap w:val="0"/>
            <w:vAlign w:val="center"/>
          </w:tcPr>
          <w:p>
            <w:pPr>
              <w:adjustRightInd w:val="0"/>
              <w:snapToGrid w:val="0"/>
              <w:spacing w:line="440" w:lineRule="exact"/>
              <w:jc w:val="center"/>
              <w:rPr>
                <w:rFonts w:ascii="仿宋_GB2312"/>
                <w:sz w:val="28"/>
                <w:szCs w:val="28"/>
              </w:rPr>
            </w:pPr>
          </w:p>
        </w:tc>
        <w:tc>
          <w:tcPr>
            <w:tcW w:w="771" w:type="pct"/>
            <w:noWrap w:val="0"/>
            <w:vAlign w:val="center"/>
          </w:tcPr>
          <w:p>
            <w:pPr>
              <w:adjustRightInd w:val="0"/>
              <w:snapToGrid w:val="0"/>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7"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打捞沉船</w:t>
            </w:r>
          </w:p>
        </w:tc>
        <w:tc>
          <w:tcPr>
            <w:tcW w:w="508"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艘/吨位</w:t>
            </w:r>
          </w:p>
        </w:tc>
        <w:tc>
          <w:tcPr>
            <w:tcW w:w="571" w:type="pct"/>
            <w:noWrap w:val="0"/>
            <w:vAlign w:val="center"/>
          </w:tcPr>
          <w:p>
            <w:pPr>
              <w:adjustRightInd w:val="0"/>
              <w:snapToGrid w:val="0"/>
              <w:spacing w:line="440" w:lineRule="exact"/>
              <w:jc w:val="center"/>
              <w:rPr>
                <w:rFonts w:ascii="仿宋_GB2312"/>
                <w:sz w:val="28"/>
                <w:szCs w:val="28"/>
              </w:rPr>
            </w:pPr>
          </w:p>
        </w:tc>
        <w:tc>
          <w:tcPr>
            <w:tcW w:w="508" w:type="pct"/>
            <w:noWrap w:val="0"/>
            <w:vAlign w:val="center"/>
          </w:tcPr>
          <w:p>
            <w:pPr>
              <w:adjustRightInd w:val="0"/>
              <w:snapToGrid w:val="0"/>
              <w:spacing w:line="440" w:lineRule="exact"/>
              <w:jc w:val="center"/>
              <w:rPr>
                <w:rFonts w:ascii="仿宋_GB2312"/>
                <w:sz w:val="28"/>
                <w:szCs w:val="28"/>
              </w:rPr>
            </w:pPr>
          </w:p>
        </w:tc>
        <w:tc>
          <w:tcPr>
            <w:tcW w:w="698" w:type="pct"/>
            <w:noWrap w:val="0"/>
            <w:vAlign w:val="center"/>
          </w:tcPr>
          <w:p>
            <w:pPr>
              <w:adjustRightInd w:val="0"/>
              <w:snapToGrid w:val="0"/>
              <w:spacing w:line="440" w:lineRule="exact"/>
              <w:jc w:val="center"/>
              <w:rPr>
                <w:rFonts w:ascii="仿宋_GB2312"/>
                <w:sz w:val="28"/>
                <w:szCs w:val="28"/>
              </w:rPr>
            </w:pPr>
          </w:p>
        </w:tc>
        <w:tc>
          <w:tcPr>
            <w:tcW w:w="572" w:type="pct"/>
            <w:noWrap w:val="0"/>
            <w:vAlign w:val="center"/>
          </w:tcPr>
          <w:p>
            <w:pPr>
              <w:adjustRightInd w:val="0"/>
              <w:snapToGrid w:val="0"/>
              <w:spacing w:line="440" w:lineRule="exact"/>
              <w:jc w:val="center"/>
              <w:rPr>
                <w:rFonts w:ascii="仿宋_GB2312"/>
                <w:sz w:val="28"/>
                <w:szCs w:val="28"/>
              </w:rPr>
            </w:pPr>
          </w:p>
        </w:tc>
        <w:tc>
          <w:tcPr>
            <w:tcW w:w="635" w:type="pct"/>
            <w:noWrap w:val="0"/>
            <w:vAlign w:val="center"/>
          </w:tcPr>
          <w:p>
            <w:pPr>
              <w:adjustRightInd w:val="0"/>
              <w:snapToGrid w:val="0"/>
              <w:spacing w:line="440" w:lineRule="exact"/>
              <w:jc w:val="center"/>
              <w:rPr>
                <w:rFonts w:ascii="仿宋_GB2312"/>
                <w:sz w:val="28"/>
                <w:szCs w:val="28"/>
              </w:rPr>
            </w:pPr>
          </w:p>
        </w:tc>
        <w:tc>
          <w:tcPr>
            <w:tcW w:w="771" w:type="pct"/>
            <w:noWrap w:val="0"/>
            <w:vAlign w:val="center"/>
          </w:tcPr>
          <w:p>
            <w:pPr>
              <w:adjustRightInd w:val="0"/>
              <w:snapToGrid w:val="0"/>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7"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其他清障</w:t>
            </w:r>
          </w:p>
        </w:tc>
        <w:tc>
          <w:tcPr>
            <w:tcW w:w="508"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处/吨</w:t>
            </w:r>
          </w:p>
        </w:tc>
        <w:tc>
          <w:tcPr>
            <w:tcW w:w="571" w:type="pct"/>
            <w:noWrap w:val="0"/>
            <w:vAlign w:val="center"/>
          </w:tcPr>
          <w:p>
            <w:pPr>
              <w:adjustRightInd w:val="0"/>
              <w:snapToGrid w:val="0"/>
              <w:spacing w:line="440" w:lineRule="exact"/>
              <w:jc w:val="center"/>
              <w:rPr>
                <w:rFonts w:ascii="仿宋_GB2312"/>
                <w:sz w:val="28"/>
                <w:szCs w:val="28"/>
              </w:rPr>
            </w:pPr>
          </w:p>
        </w:tc>
        <w:tc>
          <w:tcPr>
            <w:tcW w:w="508" w:type="pct"/>
            <w:noWrap w:val="0"/>
            <w:vAlign w:val="center"/>
          </w:tcPr>
          <w:p>
            <w:pPr>
              <w:adjustRightInd w:val="0"/>
              <w:snapToGrid w:val="0"/>
              <w:spacing w:line="440" w:lineRule="exact"/>
              <w:jc w:val="center"/>
              <w:rPr>
                <w:rFonts w:ascii="仿宋_GB2312"/>
                <w:sz w:val="28"/>
                <w:szCs w:val="28"/>
              </w:rPr>
            </w:pPr>
          </w:p>
        </w:tc>
        <w:tc>
          <w:tcPr>
            <w:tcW w:w="698" w:type="pct"/>
            <w:noWrap w:val="0"/>
            <w:vAlign w:val="center"/>
          </w:tcPr>
          <w:p>
            <w:pPr>
              <w:adjustRightInd w:val="0"/>
              <w:snapToGrid w:val="0"/>
              <w:spacing w:line="440" w:lineRule="exact"/>
              <w:jc w:val="center"/>
              <w:rPr>
                <w:rFonts w:ascii="仿宋_GB2312"/>
                <w:sz w:val="28"/>
                <w:szCs w:val="28"/>
              </w:rPr>
            </w:pPr>
          </w:p>
        </w:tc>
        <w:tc>
          <w:tcPr>
            <w:tcW w:w="572" w:type="pct"/>
            <w:noWrap w:val="0"/>
            <w:vAlign w:val="center"/>
          </w:tcPr>
          <w:p>
            <w:pPr>
              <w:adjustRightInd w:val="0"/>
              <w:snapToGrid w:val="0"/>
              <w:spacing w:line="440" w:lineRule="exact"/>
              <w:jc w:val="center"/>
              <w:rPr>
                <w:rFonts w:ascii="仿宋_GB2312"/>
                <w:sz w:val="28"/>
                <w:szCs w:val="28"/>
              </w:rPr>
            </w:pPr>
          </w:p>
        </w:tc>
        <w:tc>
          <w:tcPr>
            <w:tcW w:w="635" w:type="pct"/>
            <w:noWrap w:val="0"/>
            <w:vAlign w:val="center"/>
          </w:tcPr>
          <w:p>
            <w:pPr>
              <w:adjustRightInd w:val="0"/>
              <w:snapToGrid w:val="0"/>
              <w:spacing w:line="440" w:lineRule="exact"/>
              <w:jc w:val="center"/>
              <w:rPr>
                <w:rFonts w:ascii="仿宋_GB2312"/>
                <w:sz w:val="28"/>
                <w:szCs w:val="28"/>
              </w:rPr>
            </w:pPr>
          </w:p>
        </w:tc>
        <w:tc>
          <w:tcPr>
            <w:tcW w:w="771" w:type="pct"/>
            <w:noWrap w:val="0"/>
            <w:vAlign w:val="center"/>
          </w:tcPr>
          <w:p>
            <w:pPr>
              <w:adjustRightInd w:val="0"/>
              <w:snapToGrid w:val="0"/>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7" w:type="pct"/>
            <w:noWrap w:val="0"/>
            <w:vAlign w:val="center"/>
          </w:tcPr>
          <w:p>
            <w:pPr>
              <w:adjustRightInd w:val="0"/>
              <w:snapToGrid w:val="0"/>
              <w:spacing w:line="240" w:lineRule="atLeast"/>
              <w:jc w:val="center"/>
              <w:rPr>
                <w:rFonts w:ascii="仿宋_GB2312"/>
                <w:sz w:val="28"/>
                <w:szCs w:val="28"/>
              </w:rPr>
            </w:pPr>
            <w:r>
              <w:rPr>
                <w:rFonts w:hint="eastAsia" w:ascii="仿宋_GB2312"/>
                <w:sz w:val="28"/>
                <w:szCs w:val="28"/>
              </w:rPr>
              <w:t>其他维修项目</w:t>
            </w:r>
          </w:p>
        </w:tc>
        <w:tc>
          <w:tcPr>
            <w:tcW w:w="508" w:type="pct"/>
            <w:noWrap w:val="0"/>
            <w:vAlign w:val="center"/>
          </w:tcPr>
          <w:p>
            <w:pPr>
              <w:adjustRightInd w:val="0"/>
              <w:snapToGrid w:val="0"/>
              <w:spacing w:line="240" w:lineRule="atLeast"/>
              <w:jc w:val="center"/>
              <w:rPr>
                <w:rFonts w:ascii="仿宋_GB2312"/>
                <w:sz w:val="28"/>
                <w:szCs w:val="28"/>
              </w:rPr>
            </w:pPr>
          </w:p>
        </w:tc>
        <w:tc>
          <w:tcPr>
            <w:tcW w:w="571" w:type="pct"/>
            <w:noWrap w:val="0"/>
            <w:vAlign w:val="center"/>
          </w:tcPr>
          <w:p>
            <w:pPr>
              <w:adjustRightInd w:val="0"/>
              <w:snapToGrid w:val="0"/>
              <w:spacing w:line="440" w:lineRule="exact"/>
              <w:jc w:val="center"/>
              <w:rPr>
                <w:rFonts w:ascii="仿宋_GB2312"/>
                <w:sz w:val="28"/>
                <w:szCs w:val="28"/>
              </w:rPr>
            </w:pPr>
          </w:p>
        </w:tc>
        <w:tc>
          <w:tcPr>
            <w:tcW w:w="508" w:type="pct"/>
            <w:noWrap w:val="0"/>
            <w:vAlign w:val="center"/>
          </w:tcPr>
          <w:p>
            <w:pPr>
              <w:adjustRightInd w:val="0"/>
              <w:snapToGrid w:val="0"/>
              <w:spacing w:line="440" w:lineRule="exact"/>
              <w:jc w:val="center"/>
              <w:rPr>
                <w:rFonts w:ascii="仿宋_GB2312"/>
                <w:sz w:val="28"/>
                <w:szCs w:val="28"/>
              </w:rPr>
            </w:pPr>
          </w:p>
        </w:tc>
        <w:tc>
          <w:tcPr>
            <w:tcW w:w="698" w:type="pct"/>
            <w:noWrap w:val="0"/>
            <w:vAlign w:val="center"/>
          </w:tcPr>
          <w:p>
            <w:pPr>
              <w:adjustRightInd w:val="0"/>
              <w:snapToGrid w:val="0"/>
              <w:spacing w:line="440" w:lineRule="exact"/>
              <w:jc w:val="center"/>
              <w:rPr>
                <w:rFonts w:ascii="仿宋_GB2312"/>
                <w:sz w:val="28"/>
                <w:szCs w:val="28"/>
              </w:rPr>
            </w:pPr>
          </w:p>
        </w:tc>
        <w:tc>
          <w:tcPr>
            <w:tcW w:w="572" w:type="pct"/>
            <w:noWrap w:val="0"/>
            <w:vAlign w:val="center"/>
          </w:tcPr>
          <w:p>
            <w:pPr>
              <w:adjustRightInd w:val="0"/>
              <w:snapToGrid w:val="0"/>
              <w:spacing w:line="440" w:lineRule="exact"/>
              <w:jc w:val="center"/>
              <w:rPr>
                <w:rFonts w:ascii="仿宋_GB2312"/>
                <w:sz w:val="28"/>
                <w:szCs w:val="28"/>
              </w:rPr>
            </w:pPr>
          </w:p>
        </w:tc>
        <w:tc>
          <w:tcPr>
            <w:tcW w:w="635" w:type="pct"/>
            <w:noWrap w:val="0"/>
            <w:vAlign w:val="center"/>
          </w:tcPr>
          <w:p>
            <w:pPr>
              <w:adjustRightInd w:val="0"/>
              <w:snapToGrid w:val="0"/>
              <w:spacing w:line="440" w:lineRule="exact"/>
              <w:jc w:val="center"/>
              <w:rPr>
                <w:rFonts w:ascii="仿宋_GB2312"/>
                <w:sz w:val="28"/>
                <w:szCs w:val="28"/>
              </w:rPr>
            </w:pPr>
          </w:p>
        </w:tc>
        <w:tc>
          <w:tcPr>
            <w:tcW w:w="771" w:type="pct"/>
            <w:noWrap w:val="0"/>
            <w:vAlign w:val="center"/>
          </w:tcPr>
          <w:p>
            <w:pPr>
              <w:adjustRightInd w:val="0"/>
              <w:snapToGrid w:val="0"/>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7" w:type="pct"/>
            <w:noWrap w:val="0"/>
            <w:vAlign w:val="center"/>
          </w:tcPr>
          <w:p>
            <w:pPr>
              <w:adjustRightInd w:val="0"/>
              <w:snapToGrid w:val="0"/>
              <w:spacing w:line="440" w:lineRule="exact"/>
              <w:jc w:val="center"/>
              <w:rPr>
                <w:rFonts w:ascii="仿宋_GB2312"/>
                <w:sz w:val="28"/>
                <w:szCs w:val="28"/>
              </w:rPr>
            </w:pPr>
            <w:r>
              <w:rPr>
                <w:rFonts w:hint="eastAsia" w:ascii="仿宋_GB2312"/>
                <w:sz w:val="28"/>
                <w:szCs w:val="28"/>
              </w:rPr>
              <w:t>小    计</w:t>
            </w:r>
          </w:p>
        </w:tc>
        <w:tc>
          <w:tcPr>
            <w:tcW w:w="508" w:type="pct"/>
            <w:noWrap w:val="0"/>
            <w:vAlign w:val="center"/>
          </w:tcPr>
          <w:p>
            <w:pPr>
              <w:adjustRightInd w:val="0"/>
              <w:snapToGrid w:val="0"/>
              <w:spacing w:line="440" w:lineRule="exact"/>
              <w:jc w:val="center"/>
              <w:rPr>
                <w:rFonts w:ascii="仿宋_GB2312"/>
                <w:sz w:val="28"/>
                <w:szCs w:val="28"/>
              </w:rPr>
            </w:pPr>
          </w:p>
        </w:tc>
        <w:tc>
          <w:tcPr>
            <w:tcW w:w="571" w:type="pct"/>
            <w:noWrap w:val="0"/>
            <w:vAlign w:val="center"/>
          </w:tcPr>
          <w:p>
            <w:pPr>
              <w:adjustRightInd w:val="0"/>
              <w:snapToGrid w:val="0"/>
              <w:spacing w:line="440" w:lineRule="exact"/>
              <w:jc w:val="center"/>
              <w:rPr>
                <w:rFonts w:ascii="仿宋_GB2312"/>
                <w:sz w:val="28"/>
                <w:szCs w:val="28"/>
              </w:rPr>
            </w:pPr>
          </w:p>
        </w:tc>
        <w:tc>
          <w:tcPr>
            <w:tcW w:w="508" w:type="pct"/>
            <w:noWrap w:val="0"/>
            <w:vAlign w:val="center"/>
          </w:tcPr>
          <w:p>
            <w:pPr>
              <w:adjustRightInd w:val="0"/>
              <w:snapToGrid w:val="0"/>
              <w:spacing w:line="440" w:lineRule="exact"/>
              <w:jc w:val="center"/>
              <w:rPr>
                <w:rFonts w:ascii="仿宋_GB2312"/>
                <w:sz w:val="28"/>
                <w:szCs w:val="28"/>
              </w:rPr>
            </w:pPr>
          </w:p>
        </w:tc>
        <w:tc>
          <w:tcPr>
            <w:tcW w:w="698" w:type="pct"/>
            <w:noWrap w:val="0"/>
            <w:vAlign w:val="center"/>
          </w:tcPr>
          <w:p>
            <w:pPr>
              <w:adjustRightInd w:val="0"/>
              <w:snapToGrid w:val="0"/>
              <w:spacing w:line="440" w:lineRule="exact"/>
              <w:jc w:val="center"/>
              <w:rPr>
                <w:rFonts w:ascii="仿宋_GB2312"/>
                <w:sz w:val="28"/>
                <w:szCs w:val="28"/>
              </w:rPr>
            </w:pPr>
          </w:p>
        </w:tc>
        <w:tc>
          <w:tcPr>
            <w:tcW w:w="572" w:type="pct"/>
            <w:noWrap w:val="0"/>
            <w:vAlign w:val="center"/>
          </w:tcPr>
          <w:p>
            <w:pPr>
              <w:adjustRightInd w:val="0"/>
              <w:snapToGrid w:val="0"/>
              <w:spacing w:line="440" w:lineRule="exact"/>
              <w:jc w:val="center"/>
              <w:rPr>
                <w:rFonts w:ascii="仿宋_GB2312"/>
                <w:sz w:val="28"/>
                <w:szCs w:val="28"/>
              </w:rPr>
            </w:pPr>
          </w:p>
        </w:tc>
        <w:tc>
          <w:tcPr>
            <w:tcW w:w="635" w:type="pct"/>
            <w:noWrap w:val="0"/>
            <w:vAlign w:val="center"/>
          </w:tcPr>
          <w:p>
            <w:pPr>
              <w:adjustRightInd w:val="0"/>
              <w:snapToGrid w:val="0"/>
              <w:spacing w:line="440" w:lineRule="exact"/>
              <w:jc w:val="center"/>
              <w:rPr>
                <w:rFonts w:ascii="仿宋_GB2312"/>
                <w:sz w:val="28"/>
                <w:szCs w:val="28"/>
              </w:rPr>
            </w:pPr>
          </w:p>
        </w:tc>
        <w:tc>
          <w:tcPr>
            <w:tcW w:w="771" w:type="pct"/>
            <w:noWrap w:val="0"/>
            <w:vAlign w:val="center"/>
          </w:tcPr>
          <w:p>
            <w:pPr>
              <w:adjustRightInd w:val="0"/>
              <w:snapToGrid w:val="0"/>
              <w:spacing w:line="440" w:lineRule="exact"/>
              <w:jc w:val="center"/>
              <w:rPr>
                <w:rFonts w:ascii="仿宋_GB2312"/>
                <w:sz w:val="28"/>
                <w:szCs w:val="28"/>
              </w:rPr>
            </w:pPr>
          </w:p>
        </w:tc>
      </w:tr>
    </w:tbl>
    <w:p>
      <w:pPr>
        <w:adjustRightInd w:val="0"/>
        <w:snapToGrid w:val="0"/>
        <w:ind w:firstLine="280"/>
        <w:rPr>
          <w:rFonts w:hint="eastAsia" w:ascii="仿宋_GB2312"/>
          <w:bCs/>
          <w:sz w:val="28"/>
          <w:szCs w:val="28"/>
        </w:rPr>
      </w:pPr>
      <w:r>
        <w:rPr>
          <w:rFonts w:hint="eastAsia" w:ascii="仿宋_GB2312"/>
          <w:sz w:val="28"/>
          <w:szCs w:val="28"/>
        </w:rPr>
        <w:t>注：内河骨干航道例行养护工作，不计列本表中。</w:t>
      </w:r>
    </w:p>
    <w:p>
      <w:pPr>
        <w:adjustRightInd w:val="0"/>
        <w:snapToGrid w:val="0"/>
        <w:spacing w:line="440" w:lineRule="exact"/>
        <w:rPr>
          <w:rFonts w:ascii="黑体" w:eastAsia="黑体"/>
          <w:bCs/>
          <w:szCs w:val="32"/>
        </w:rPr>
      </w:pPr>
      <w:r>
        <w:rPr>
          <w:rFonts w:hint="eastAsia" w:ascii="仿宋_GB2312"/>
          <w:bCs/>
          <w:sz w:val="28"/>
          <w:szCs w:val="28"/>
        </w:rPr>
        <w:br w:type="page"/>
      </w:r>
      <w:r>
        <w:rPr>
          <w:rFonts w:hint="eastAsia" w:ascii="黑体" w:eastAsia="黑体"/>
          <w:bCs/>
          <w:szCs w:val="32"/>
        </w:rPr>
        <w:t>附件5</w:t>
      </w:r>
    </w:p>
    <w:p>
      <w:pPr>
        <w:adjustRightInd w:val="0"/>
        <w:snapToGrid w:val="0"/>
        <w:ind w:firstLine="880"/>
        <w:jc w:val="center"/>
        <w:rPr>
          <w:rFonts w:ascii="方正小标宋简体" w:eastAsia="方正小标宋简体"/>
          <w:bCs/>
          <w:sz w:val="44"/>
        </w:rPr>
      </w:pPr>
      <w:r>
        <w:rPr>
          <w:rFonts w:hint="eastAsia" w:ascii="方正小标宋简体" w:eastAsia="方正小标宋简体"/>
          <w:bCs/>
          <w:sz w:val="44"/>
        </w:rPr>
        <w:t>专项养护完成情况季（年）报表</w:t>
      </w:r>
    </w:p>
    <w:p>
      <w:pPr>
        <w:adjustRightInd w:val="0"/>
        <w:snapToGrid w:val="0"/>
        <w:rPr>
          <w:rFonts w:ascii="仿宋_GB2312"/>
          <w:sz w:val="30"/>
        </w:rPr>
      </w:pPr>
      <w:r>
        <w:rPr>
          <w:rFonts w:hint="eastAsia" w:ascii="仿宋_GB2312"/>
          <w:sz w:val="30"/>
        </w:rPr>
        <w:t>单位：（公章）                                                                     年     季</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1275"/>
        <w:gridCol w:w="3017"/>
        <w:gridCol w:w="1628"/>
        <w:gridCol w:w="1349"/>
        <w:gridCol w:w="1134"/>
        <w:gridCol w:w="1417"/>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37" w:type="dxa"/>
            <w:vMerge w:val="restart"/>
            <w:noWrap w:val="0"/>
            <w:vAlign w:val="center"/>
          </w:tcPr>
          <w:p>
            <w:pPr>
              <w:adjustRightInd w:val="0"/>
              <w:snapToGrid w:val="0"/>
              <w:jc w:val="center"/>
              <w:rPr>
                <w:rFonts w:ascii="仿宋_GB2312"/>
                <w:sz w:val="30"/>
              </w:rPr>
            </w:pPr>
            <w:r>
              <w:rPr>
                <w:rFonts w:hint="eastAsia" w:ascii="仿宋_GB2312"/>
                <w:sz w:val="30"/>
              </w:rPr>
              <w:t>项目名称</w:t>
            </w:r>
          </w:p>
        </w:tc>
        <w:tc>
          <w:tcPr>
            <w:tcW w:w="1275" w:type="dxa"/>
            <w:vMerge w:val="restart"/>
            <w:noWrap w:val="0"/>
            <w:vAlign w:val="center"/>
          </w:tcPr>
          <w:p>
            <w:pPr>
              <w:adjustRightInd w:val="0"/>
              <w:snapToGrid w:val="0"/>
              <w:jc w:val="center"/>
              <w:rPr>
                <w:rFonts w:ascii="仿宋_GB2312"/>
                <w:sz w:val="30"/>
              </w:rPr>
            </w:pPr>
            <w:r>
              <w:rPr>
                <w:rFonts w:hint="eastAsia" w:ascii="仿宋_GB2312"/>
                <w:sz w:val="30"/>
              </w:rPr>
              <w:t>投 资</w:t>
            </w:r>
          </w:p>
          <w:p>
            <w:pPr>
              <w:adjustRightInd w:val="0"/>
              <w:snapToGrid w:val="0"/>
              <w:jc w:val="center"/>
              <w:rPr>
                <w:rFonts w:ascii="仿宋_GB2312"/>
                <w:sz w:val="30"/>
              </w:rPr>
            </w:pPr>
            <w:r>
              <w:rPr>
                <w:rFonts w:hint="eastAsia" w:ascii="仿宋_GB2312"/>
                <w:sz w:val="30"/>
              </w:rPr>
              <w:t>（万元）</w:t>
            </w:r>
          </w:p>
        </w:tc>
        <w:tc>
          <w:tcPr>
            <w:tcW w:w="3017" w:type="dxa"/>
            <w:vMerge w:val="restart"/>
            <w:noWrap w:val="0"/>
            <w:vAlign w:val="center"/>
          </w:tcPr>
          <w:p>
            <w:pPr>
              <w:adjustRightInd w:val="0"/>
              <w:snapToGrid w:val="0"/>
              <w:jc w:val="center"/>
              <w:rPr>
                <w:rFonts w:ascii="仿宋_GB2312"/>
                <w:sz w:val="30"/>
              </w:rPr>
            </w:pPr>
            <w:r>
              <w:rPr>
                <w:rFonts w:hint="eastAsia" w:ascii="仿宋_GB2312"/>
                <w:sz w:val="30"/>
              </w:rPr>
              <w:t>进度情况</w:t>
            </w:r>
          </w:p>
        </w:tc>
        <w:tc>
          <w:tcPr>
            <w:tcW w:w="5528" w:type="dxa"/>
            <w:gridSpan w:val="4"/>
            <w:noWrap w:val="0"/>
            <w:vAlign w:val="center"/>
          </w:tcPr>
          <w:p>
            <w:pPr>
              <w:adjustRightInd w:val="0"/>
              <w:snapToGrid w:val="0"/>
              <w:jc w:val="center"/>
              <w:rPr>
                <w:rFonts w:ascii="仿宋_GB2312"/>
                <w:sz w:val="30"/>
              </w:rPr>
            </w:pPr>
            <w:r>
              <w:rPr>
                <w:rFonts w:hint="eastAsia" w:ascii="仿宋_GB2312"/>
                <w:sz w:val="30"/>
              </w:rPr>
              <w:t>完成金额（万元）</w:t>
            </w:r>
          </w:p>
        </w:tc>
        <w:tc>
          <w:tcPr>
            <w:tcW w:w="2017" w:type="dxa"/>
            <w:vMerge w:val="restart"/>
            <w:noWrap w:val="0"/>
            <w:vAlign w:val="center"/>
          </w:tcPr>
          <w:p>
            <w:pPr>
              <w:adjustRightInd w:val="0"/>
              <w:snapToGrid w:val="0"/>
              <w:jc w:val="center"/>
              <w:rPr>
                <w:rFonts w:ascii="仿宋_GB2312"/>
                <w:sz w:val="30"/>
              </w:rPr>
            </w:pPr>
            <w:r>
              <w:rPr>
                <w:rFonts w:hint="eastAsia" w:ascii="仿宋_GB2312"/>
                <w:sz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37" w:type="dxa"/>
            <w:vMerge w:val="continue"/>
            <w:noWrap w:val="0"/>
            <w:vAlign w:val="center"/>
          </w:tcPr>
          <w:p>
            <w:pPr>
              <w:adjustRightInd w:val="0"/>
              <w:snapToGrid w:val="0"/>
              <w:jc w:val="center"/>
              <w:rPr>
                <w:rFonts w:ascii="仿宋_GB2312"/>
                <w:sz w:val="30"/>
              </w:rPr>
            </w:pPr>
          </w:p>
        </w:tc>
        <w:tc>
          <w:tcPr>
            <w:tcW w:w="1275" w:type="dxa"/>
            <w:vMerge w:val="continue"/>
            <w:noWrap w:val="0"/>
            <w:vAlign w:val="center"/>
          </w:tcPr>
          <w:p>
            <w:pPr>
              <w:adjustRightInd w:val="0"/>
              <w:snapToGrid w:val="0"/>
              <w:jc w:val="center"/>
              <w:rPr>
                <w:rFonts w:ascii="仿宋_GB2312"/>
                <w:sz w:val="30"/>
              </w:rPr>
            </w:pPr>
          </w:p>
        </w:tc>
        <w:tc>
          <w:tcPr>
            <w:tcW w:w="3017" w:type="dxa"/>
            <w:vMerge w:val="continue"/>
            <w:noWrap w:val="0"/>
            <w:vAlign w:val="center"/>
          </w:tcPr>
          <w:p>
            <w:pPr>
              <w:adjustRightInd w:val="0"/>
              <w:snapToGrid w:val="0"/>
              <w:jc w:val="center"/>
              <w:rPr>
                <w:rFonts w:ascii="仿宋_GB2312"/>
                <w:sz w:val="30"/>
              </w:rPr>
            </w:pPr>
          </w:p>
        </w:tc>
        <w:tc>
          <w:tcPr>
            <w:tcW w:w="1628" w:type="dxa"/>
            <w:noWrap w:val="0"/>
            <w:vAlign w:val="center"/>
          </w:tcPr>
          <w:p>
            <w:pPr>
              <w:adjustRightInd w:val="0"/>
              <w:snapToGrid w:val="0"/>
              <w:jc w:val="center"/>
              <w:rPr>
                <w:rFonts w:ascii="仿宋_GB2312"/>
                <w:sz w:val="30"/>
              </w:rPr>
            </w:pPr>
            <w:r>
              <w:rPr>
                <w:rFonts w:hint="eastAsia" w:ascii="仿宋_GB2312"/>
                <w:sz w:val="30"/>
              </w:rPr>
              <w:t>本季度</w:t>
            </w:r>
          </w:p>
        </w:tc>
        <w:tc>
          <w:tcPr>
            <w:tcW w:w="1349" w:type="dxa"/>
            <w:noWrap w:val="0"/>
            <w:vAlign w:val="center"/>
          </w:tcPr>
          <w:p>
            <w:pPr>
              <w:adjustRightInd w:val="0"/>
              <w:snapToGrid w:val="0"/>
              <w:jc w:val="center"/>
              <w:rPr>
                <w:rFonts w:ascii="仿宋_GB2312"/>
                <w:sz w:val="30"/>
              </w:rPr>
            </w:pPr>
            <w:r>
              <w:rPr>
                <w:rFonts w:hint="eastAsia" w:ascii="仿宋_GB2312"/>
                <w:sz w:val="30"/>
              </w:rPr>
              <w:t>自年初累计</w:t>
            </w:r>
          </w:p>
        </w:tc>
        <w:tc>
          <w:tcPr>
            <w:tcW w:w="1134" w:type="dxa"/>
            <w:noWrap w:val="0"/>
            <w:vAlign w:val="center"/>
          </w:tcPr>
          <w:p>
            <w:pPr>
              <w:adjustRightInd w:val="0"/>
              <w:snapToGrid w:val="0"/>
              <w:jc w:val="center"/>
              <w:rPr>
                <w:rFonts w:ascii="仿宋_GB2312"/>
                <w:sz w:val="30"/>
              </w:rPr>
            </w:pPr>
            <w:r>
              <w:rPr>
                <w:rFonts w:hint="eastAsia" w:ascii="仿宋_GB2312"/>
                <w:sz w:val="30"/>
              </w:rPr>
              <w:t>自开工累计</w:t>
            </w:r>
          </w:p>
        </w:tc>
        <w:tc>
          <w:tcPr>
            <w:tcW w:w="1417" w:type="dxa"/>
            <w:noWrap w:val="0"/>
            <w:vAlign w:val="center"/>
          </w:tcPr>
          <w:p>
            <w:pPr>
              <w:adjustRightInd w:val="0"/>
              <w:snapToGrid w:val="0"/>
              <w:jc w:val="center"/>
              <w:rPr>
                <w:rFonts w:ascii="仿宋_GB2312"/>
                <w:sz w:val="30"/>
              </w:rPr>
            </w:pPr>
            <w:r>
              <w:rPr>
                <w:rFonts w:hint="eastAsia" w:ascii="仿宋_GB2312"/>
                <w:sz w:val="30"/>
              </w:rPr>
              <w:t>自开工累计支付</w:t>
            </w:r>
          </w:p>
        </w:tc>
        <w:tc>
          <w:tcPr>
            <w:tcW w:w="2017" w:type="dxa"/>
            <w:vMerge w:val="continue"/>
            <w:noWrap w:val="0"/>
            <w:vAlign w:val="center"/>
          </w:tcPr>
          <w:p>
            <w:pPr>
              <w:adjustRightInd w:val="0"/>
              <w:snapToGrid w:val="0"/>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2337" w:type="dxa"/>
            <w:noWrap w:val="0"/>
            <w:vAlign w:val="center"/>
          </w:tcPr>
          <w:p>
            <w:pPr>
              <w:adjustRightInd w:val="0"/>
              <w:snapToGrid w:val="0"/>
              <w:jc w:val="center"/>
              <w:rPr>
                <w:rFonts w:ascii="仿宋_GB2312" w:hAnsi="宋体"/>
                <w:sz w:val="30"/>
              </w:rPr>
            </w:pPr>
          </w:p>
        </w:tc>
        <w:tc>
          <w:tcPr>
            <w:tcW w:w="1275" w:type="dxa"/>
            <w:noWrap w:val="0"/>
            <w:vAlign w:val="center"/>
          </w:tcPr>
          <w:p>
            <w:pPr>
              <w:adjustRightInd w:val="0"/>
              <w:snapToGrid w:val="0"/>
              <w:jc w:val="center"/>
              <w:rPr>
                <w:rFonts w:ascii="仿宋_GB2312" w:hAnsi="宋体"/>
                <w:sz w:val="30"/>
              </w:rPr>
            </w:pPr>
          </w:p>
        </w:tc>
        <w:tc>
          <w:tcPr>
            <w:tcW w:w="3017" w:type="dxa"/>
            <w:noWrap w:val="0"/>
            <w:vAlign w:val="center"/>
          </w:tcPr>
          <w:p>
            <w:pPr>
              <w:adjustRightInd w:val="0"/>
              <w:snapToGrid w:val="0"/>
              <w:jc w:val="center"/>
              <w:rPr>
                <w:rFonts w:ascii="仿宋_GB2312" w:hAnsi="宋体"/>
                <w:sz w:val="30"/>
              </w:rPr>
            </w:pPr>
          </w:p>
        </w:tc>
        <w:tc>
          <w:tcPr>
            <w:tcW w:w="1628" w:type="dxa"/>
            <w:noWrap w:val="0"/>
            <w:vAlign w:val="center"/>
          </w:tcPr>
          <w:p>
            <w:pPr>
              <w:adjustRightInd w:val="0"/>
              <w:snapToGrid w:val="0"/>
              <w:jc w:val="center"/>
              <w:rPr>
                <w:rFonts w:ascii="仿宋_GB2312" w:hAnsi="宋体"/>
                <w:sz w:val="30"/>
              </w:rPr>
            </w:pPr>
          </w:p>
        </w:tc>
        <w:tc>
          <w:tcPr>
            <w:tcW w:w="1349" w:type="dxa"/>
            <w:noWrap w:val="0"/>
            <w:vAlign w:val="center"/>
          </w:tcPr>
          <w:p>
            <w:pPr>
              <w:adjustRightInd w:val="0"/>
              <w:snapToGrid w:val="0"/>
              <w:jc w:val="center"/>
              <w:rPr>
                <w:rFonts w:ascii="仿宋_GB2312" w:hAnsi="宋体"/>
                <w:sz w:val="30"/>
              </w:rPr>
            </w:pPr>
          </w:p>
        </w:tc>
        <w:tc>
          <w:tcPr>
            <w:tcW w:w="1134" w:type="dxa"/>
            <w:noWrap w:val="0"/>
            <w:vAlign w:val="top"/>
          </w:tcPr>
          <w:p>
            <w:pPr>
              <w:adjustRightInd w:val="0"/>
              <w:snapToGrid w:val="0"/>
              <w:jc w:val="center"/>
              <w:rPr>
                <w:rFonts w:ascii="仿宋_GB2312" w:hAnsi="宋体"/>
                <w:sz w:val="30"/>
              </w:rPr>
            </w:pPr>
          </w:p>
        </w:tc>
        <w:tc>
          <w:tcPr>
            <w:tcW w:w="1417" w:type="dxa"/>
            <w:noWrap w:val="0"/>
            <w:vAlign w:val="top"/>
          </w:tcPr>
          <w:p>
            <w:pPr>
              <w:adjustRightInd w:val="0"/>
              <w:snapToGrid w:val="0"/>
              <w:jc w:val="center"/>
              <w:rPr>
                <w:rFonts w:ascii="仿宋_GB2312" w:hAnsi="宋体"/>
                <w:sz w:val="30"/>
              </w:rPr>
            </w:pPr>
          </w:p>
        </w:tc>
        <w:tc>
          <w:tcPr>
            <w:tcW w:w="2017" w:type="dxa"/>
            <w:noWrap w:val="0"/>
            <w:vAlign w:val="center"/>
          </w:tcPr>
          <w:p>
            <w:pPr>
              <w:adjustRightInd w:val="0"/>
              <w:snapToGrid w:val="0"/>
              <w:jc w:val="center"/>
              <w:rPr>
                <w:rFonts w:ascii="仿宋_GB2312" w:hAnsi="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337" w:type="dxa"/>
            <w:noWrap w:val="0"/>
            <w:vAlign w:val="center"/>
          </w:tcPr>
          <w:p>
            <w:pPr>
              <w:adjustRightInd w:val="0"/>
              <w:snapToGrid w:val="0"/>
              <w:jc w:val="center"/>
              <w:rPr>
                <w:rFonts w:ascii="仿宋_GB2312" w:hAnsi="宋体"/>
                <w:sz w:val="30"/>
              </w:rPr>
            </w:pPr>
          </w:p>
        </w:tc>
        <w:tc>
          <w:tcPr>
            <w:tcW w:w="1275" w:type="dxa"/>
            <w:noWrap w:val="0"/>
            <w:vAlign w:val="center"/>
          </w:tcPr>
          <w:p>
            <w:pPr>
              <w:adjustRightInd w:val="0"/>
              <w:snapToGrid w:val="0"/>
              <w:jc w:val="center"/>
              <w:rPr>
                <w:rFonts w:ascii="仿宋_GB2312" w:hAnsi="宋体"/>
                <w:sz w:val="30"/>
              </w:rPr>
            </w:pPr>
          </w:p>
        </w:tc>
        <w:tc>
          <w:tcPr>
            <w:tcW w:w="3017" w:type="dxa"/>
            <w:noWrap w:val="0"/>
            <w:vAlign w:val="center"/>
          </w:tcPr>
          <w:p>
            <w:pPr>
              <w:adjustRightInd w:val="0"/>
              <w:snapToGrid w:val="0"/>
              <w:jc w:val="center"/>
              <w:rPr>
                <w:rFonts w:ascii="仿宋_GB2312" w:hAnsi="宋体"/>
                <w:sz w:val="30"/>
              </w:rPr>
            </w:pPr>
          </w:p>
        </w:tc>
        <w:tc>
          <w:tcPr>
            <w:tcW w:w="1628" w:type="dxa"/>
            <w:noWrap w:val="0"/>
            <w:vAlign w:val="center"/>
          </w:tcPr>
          <w:p>
            <w:pPr>
              <w:adjustRightInd w:val="0"/>
              <w:snapToGrid w:val="0"/>
              <w:jc w:val="center"/>
              <w:rPr>
                <w:rFonts w:ascii="仿宋_GB2312" w:hAnsi="宋体"/>
                <w:sz w:val="30"/>
              </w:rPr>
            </w:pPr>
          </w:p>
        </w:tc>
        <w:tc>
          <w:tcPr>
            <w:tcW w:w="1349" w:type="dxa"/>
            <w:noWrap w:val="0"/>
            <w:vAlign w:val="center"/>
          </w:tcPr>
          <w:p>
            <w:pPr>
              <w:adjustRightInd w:val="0"/>
              <w:snapToGrid w:val="0"/>
              <w:jc w:val="center"/>
              <w:rPr>
                <w:rFonts w:ascii="仿宋_GB2312" w:hAnsi="宋体"/>
                <w:sz w:val="30"/>
              </w:rPr>
            </w:pPr>
          </w:p>
        </w:tc>
        <w:tc>
          <w:tcPr>
            <w:tcW w:w="1134" w:type="dxa"/>
            <w:noWrap w:val="0"/>
            <w:vAlign w:val="top"/>
          </w:tcPr>
          <w:p>
            <w:pPr>
              <w:adjustRightInd w:val="0"/>
              <w:snapToGrid w:val="0"/>
              <w:jc w:val="center"/>
              <w:rPr>
                <w:rFonts w:ascii="仿宋_GB2312" w:hAnsi="宋体"/>
                <w:sz w:val="30"/>
              </w:rPr>
            </w:pPr>
          </w:p>
        </w:tc>
        <w:tc>
          <w:tcPr>
            <w:tcW w:w="1417" w:type="dxa"/>
            <w:noWrap w:val="0"/>
            <w:vAlign w:val="top"/>
          </w:tcPr>
          <w:p>
            <w:pPr>
              <w:adjustRightInd w:val="0"/>
              <w:snapToGrid w:val="0"/>
              <w:jc w:val="center"/>
              <w:rPr>
                <w:rFonts w:ascii="仿宋_GB2312" w:hAnsi="宋体"/>
                <w:sz w:val="30"/>
              </w:rPr>
            </w:pPr>
          </w:p>
        </w:tc>
        <w:tc>
          <w:tcPr>
            <w:tcW w:w="2017" w:type="dxa"/>
            <w:noWrap w:val="0"/>
            <w:vAlign w:val="center"/>
          </w:tcPr>
          <w:p>
            <w:pPr>
              <w:adjustRightInd w:val="0"/>
              <w:snapToGrid w:val="0"/>
              <w:jc w:val="center"/>
              <w:rPr>
                <w:rFonts w:ascii="仿宋_GB2312" w:hAnsi="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337" w:type="dxa"/>
            <w:noWrap w:val="0"/>
            <w:vAlign w:val="center"/>
          </w:tcPr>
          <w:p>
            <w:pPr>
              <w:adjustRightInd w:val="0"/>
              <w:snapToGrid w:val="0"/>
              <w:jc w:val="center"/>
              <w:rPr>
                <w:rFonts w:ascii="仿宋_GB2312" w:hAnsi="宋体"/>
                <w:sz w:val="30"/>
              </w:rPr>
            </w:pPr>
          </w:p>
        </w:tc>
        <w:tc>
          <w:tcPr>
            <w:tcW w:w="1275" w:type="dxa"/>
            <w:noWrap w:val="0"/>
            <w:vAlign w:val="center"/>
          </w:tcPr>
          <w:p>
            <w:pPr>
              <w:adjustRightInd w:val="0"/>
              <w:snapToGrid w:val="0"/>
              <w:jc w:val="center"/>
              <w:rPr>
                <w:rFonts w:ascii="仿宋_GB2312" w:hAnsi="宋体"/>
                <w:sz w:val="30"/>
              </w:rPr>
            </w:pPr>
          </w:p>
        </w:tc>
        <w:tc>
          <w:tcPr>
            <w:tcW w:w="3017" w:type="dxa"/>
            <w:noWrap w:val="0"/>
            <w:vAlign w:val="center"/>
          </w:tcPr>
          <w:p>
            <w:pPr>
              <w:adjustRightInd w:val="0"/>
              <w:snapToGrid w:val="0"/>
              <w:jc w:val="center"/>
              <w:rPr>
                <w:rFonts w:ascii="仿宋_GB2312" w:hAnsi="宋体"/>
                <w:sz w:val="30"/>
              </w:rPr>
            </w:pPr>
          </w:p>
        </w:tc>
        <w:tc>
          <w:tcPr>
            <w:tcW w:w="1628" w:type="dxa"/>
            <w:noWrap w:val="0"/>
            <w:vAlign w:val="center"/>
          </w:tcPr>
          <w:p>
            <w:pPr>
              <w:adjustRightInd w:val="0"/>
              <w:snapToGrid w:val="0"/>
              <w:jc w:val="center"/>
              <w:rPr>
                <w:rFonts w:ascii="仿宋_GB2312" w:hAnsi="宋体"/>
                <w:sz w:val="30"/>
              </w:rPr>
            </w:pPr>
          </w:p>
        </w:tc>
        <w:tc>
          <w:tcPr>
            <w:tcW w:w="1349" w:type="dxa"/>
            <w:noWrap w:val="0"/>
            <w:vAlign w:val="center"/>
          </w:tcPr>
          <w:p>
            <w:pPr>
              <w:adjustRightInd w:val="0"/>
              <w:snapToGrid w:val="0"/>
              <w:jc w:val="center"/>
              <w:rPr>
                <w:rFonts w:ascii="仿宋_GB2312" w:hAnsi="宋体"/>
                <w:sz w:val="30"/>
              </w:rPr>
            </w:pPr>
          </w:p>
        </w:tc>
        <w:tc>
          <w:tcPr>
            <w:tcW w:w="1134" w:type="dxa"/>
            <w:noWrap w:val="0"/>
            <w:vAlign w:val="top"/>
          </w:tcPr>
          <w:p>
            <w:pPr>
              <w:adjustRightInd w:val="0"/>
              <w:snapToGrid w:val="0"/>
              <w:jc w:val="center"/>
              <w:rPr>
                <w:rFonts w:ascii="仿宋_GB2312" w:hAnsi="宋体"/>
                <w:sz w:val="30"/>
              </w:rPr>
            </w:pPr>
          </w:p>
        </w:tc>
        <w:tc>
          <w:tcPr>
            <w:tcW w:w="1417" w:type="dxa"/>
            <w:noWrap w:val="0"/>
            <w:vAlign w:val="top"/>
          </w:tcPr>
          <w:p>
            <w:pPr>
              <w:adjustRightInd w:val="0"/>
              <w:snapToGrid w:val="0"/>
              <w:jc w:val="center"/>
              <w:rPr>
                <w:rFonts w:ascii="仿宋_GB2312" w:hAnsi="宋体"/>
                <w:sz w:val="30"/>
              </w:rPr>
            </w:pPr>
          </w:p>
        </w:tc>
        <w:tc>
          <w:tcPr>
            <w:tcW w:w="2017" w:type="dxa"/>
            <w:noWrap w:val="0"/>
            <w:vAlign w:val="center"/>
          </w:tcPr>
          <w:p>
            <w:pPr>
              <w:adjustRightInd w:val="0"/>
              <w:snapToGrid w:val="0"/>
              <w:jc w:val="center"/>
              <w:rPr>
                <w:rFonts w:ascii="仿宋_GB2312" w:hAnsi="宋体"/>
                <w:sz w:val="30"/>
              </w:rPr>
            </w:pPr>
          </w:p>
        </w:tc>
      </w:tr>
    </w:tbl>
    <w:p>
      <w:pPr>
        <w:adjustRightInd w:val="0"/>
        <w:snapToGrid w:val="0"/>
        <w:ind w:firstLine="600"/>
        <w:rPr>
          <w:rFonts w:ascii="仿宋_GB2312"/>
          <w:sz w:val="30"/>
        </w:rPr>
      </w:pPr>
      <w:r>
        <w:rPr>
          <w:rFonts w:hint="eastAsia" w:ascii="仿宋_GB2312"/>
          <w:sz w:val="30"/>
        </w:rPr>
        <w:t>注：1.凡列入年度预算的专项养护项目，均需填写本表，从前期工作开始填写。</w:t>
      </w:r>
    </w:p>
    <w:p>
      <w:pPr>
        <w:adjustRightInd w:val="0"/>
        <w:snapToGrid w:val="0"/>
        <w:ind w:left="1503" w:leftChars="376" w:hanging="300" w:hangingChars="100"/>
        <w:rPr>
          <w:rFonts w:ascii="仿宋_GB2312"/>
          <w:sz w:val="30"/>
        </w:rPr>
      </w:pPr>
      <w:r>
        <w:rPr>
          <w:rFonts w:hint="eastAsia" w:ascii="仿宋_GB2312"/>
          <w:sz w:val="30"/>
        </w:rPr>
        <w:t>2.进度情况应按主要工程量（如护岸砌筑、陆上土方开挖、水下土方疏浚、管理码头桩基、上部结构等）详细说明，项目完工后其主要工程量均应填写完整。</w:t>
      </w:r>
    </w:p>
    <w:p>
      <w:pPr>
        <w:adjustRightInd w:val="0"/>
        <w:snapToGrid w:val="0"/>
        <w:ind w:left="1503" w:leftChars="376" w:hanging="300" w:hangingChars="100"/>
        <w:rPr>
          <w:rFonts w:ascii="仿宋_GB2312"/>
          <w:sz w:val="30"/>
        </w:rPr>
        <w:sectPr>
          <w:pgSz w:w="16838" w:h="11906" w:orient="landscape"/>
          <w:pgMar w:top="1797" w:right="1440" w:bottom="1797" w:left="1440" w:header="851" w:footer="992" w:gutter="0"/>
          <w:pgNumType w:fmt="numberInDash"/>
          <w:cols w:space="425" w:num="1"/>
          <w:docGrid w:linePitch="312" w:charSpace="0"/>
        </w:sectPr>
      </w:pPr>
      <w:r>
        <w:rPr>
          <w:rFonts w:hint="eastAsia" w:ascii="仿宋_GB2312"/>
          <w:sz w:val="30"/>
        </w:rPr>
        <w:t>3.每季度末各市需填报所有专项合计完成提高航道等级   公里，新建护岸  米，陆上土方  方，水下土方  方，增设标志标牌  座，新建管理码头  座。</w:t>
      </w:r>
    </w:p>
    <w:p>
      <w:pPr>
        <w:snapToGrid w:val="0"/>
        <w:spacing w:line="580" w:lineRule="exact"/>
        <w:rPr>
          <w:rFonts w:ascii="黑体" w:hAnsi="黑体" w:eastAsia="黑体"/>
          <w:szCs w:val="28"/>
        </w:rPr>
      </w:pPr>
      <w:r>
        <w:rPr>
          <w:rFonts w:hint="eastAsia" w:ascii="黑体" w:hAnsi="黑体" w:eastAsia="黑体"/>
          <w:szCs w:val="28"/>
        </w:rPr>
        <w:t>附件6</w:t>
      </w:r>
    </w:p>
    <w:p>
      <w:pPr>
        <w:snapToGrid w:val="0"/>
        <w:rPr>
          <w:sz w:val="30"/>
          <w:szCs w:val="30"/>
        </w:rPr>
      </w:pPr>
    </w:p>
    <w:p>
      <w:pPr>
        <w:snapToGrid w:val="0"/>
        <w:rPr>
          <w:rFonts w:eastAsia="黑体"/>
          <w:sz w:val="30"/>
          <w:szCs w:val="30"/>
        </w:rPr>
      </w:pPr>
    </w:p>
    <w:p>
      <w:pPr>
        <w:snapToGrid w:val="0"/>
        <w:rPr>
          <w:rFonts w:eastAsia="黑体"/>
          <w:sz w:val="30"/>
          <w:szCs w:val="30"/>
        </w:rPr>
      </w:pPr>
    </w:p>
    <w:p>
      <w:pPr>
        <w:snapToGrid w:val="0"/>
        <w:rPr>
          <w:rFonts w:eastAsia="黑体"/>
          <w:sz w:val="28"/>
          <w:szCs w:val="28"/>
        </w:rPr>
      </w:pPr>
    </w:p>
    <w:p>
      <w:pPr>
        <w:snapToGrid w:val="0"/>
        <w:jc w:val="center"/>
        <w:rPr>
          <w:rFonts w:ascii="方正小标宋简体" w:eastAsia="方正小标宋简体"/>
          <w:sz w:val="44"/>
          <w:szCs w:val="44"/>
        </w:rPr>
      </w:pPr>
      <w:r>
        <w:rPr>
          <w:rFonts w:hint="eastAsia" w:ascii="方正小标宋简体" w:eastAsia="方正小标宋简体"/>
          <w:sz w:val="44"/>
          <w:szCs w:val="44"/>
        </w:rPr>
        <w:t>××项目竣工验收现场核查报告</w:t>
      </w:r>
    </w:p>
    <w:p>
      <w:pPr>
        <w:jc w:val="center"/>
        <w:rPr>
          <w:rFonts w:eastAsia="华文细黑"/>
          <w:szCs w:val="32"/>
        </w:rPr>
      </w:pPr>
    </w:p>
    <w:p>
      <w:pPr>
        <w:jc w:val="center"/>
        <w:rPr>
          <w:rFonts w:eastAsia="华文细黑"/>
          <w:szCs w:val="32"/>
        </w:rPr>
      </w:pPr>
    </w:p>
    <w:p>
      <w:pPr>
        <w:jc w:val="center"/>
        <w:rPr>
          <w:rFonts w:eastAsia="华文细黑"/>
          <w:szCs w:val="32"/>
        </w:rPr>
      </w:pPr>
    </w:p>
    <w:p>
      <w:pPr>
        <w:jc w:val="center"/>
        <w:rPr>
          <w:rFonts w:eastAsia="华文细黑"/>
          <w:szCs w:val="32"/>
        </w:rPr>
      </w:pPr>
    </w:p>
    <w:p>
      <w:pPr>
        <w:jc w:val="center"/>
        <w:rPr>
          <w:rFonts w:eastAsia="华文细黑"/>
          <w:szCs w:val="32"/>
        </w:rPr>
      </w:pPr>
    </w:p>
    <w:p>
      <w:pPr>
        <w:jc w:val="center"/>
        <w:rPr>
          <w:rFonts w:eastAsia="华文细黑"/>
          <w:szCs w:val="32"/>
        </w:rPr>
      </w:pPr>
    </w:p>
    <w:p>
      <w:pPr>
        <w:jc w:val="center"/>
        <w:rPr>
          <w:rFonts w:eastAsia="华文细黑"/>
          <w:szCs w:val="32"/>
        </w:rPr>
      </w:pPr>
    </w:p>
    <w:p>
      <w:pPr>
        <w:jc w:val="center"/>
        <w:rPr>
          <w:rFonts w:eastAsia="华文细黑"/>
          <w:szCs w:val="32"/>
        </w:rPr>
      </w:pPr>
    </w:p>
    <w:p>
      <w:pPr>
        <w:jc w:val="center"/>
        <w:rPr>
          <w:rFonts w:eastAsia="华文细黑"/>
          <w:szCs w:val="32"/>
        </w:rPr>
      </w:pPr>
    </w:p>
    <w:p>
      <w:pPr>
        <w:jc w:val="center"/>
        <w:rPr>
          <w:rFonts w:eastAsia="华文细黑"/>
          <w:szCs w:val="32"/>
        </w:rPr>
      </w:pPr>
    </w:p>
    <w:p>
      <w:pPr>
        <w:jc w:val="center"/>
        <w:rPr>
          <w:rFonts w:eastAsia="华文细黑"/>
          <w:szCs w:val="32"/>
        </w:rPr>
      </w:pPr>
    </w:p>
    <w:p>
      <w:pPr>
        <w:jc w:val="center"/>
        <w:rPr>
          <w:rFonts w:eastAsia="华文细黑"/>
          <w:szCs w:val="32"/>
        </w:rPr>
      </w:pPr>
    </w:p>
    <w:p>
      <w:pPr>
        <w:jc w:val="center"/>
        <w:rPr>
          <w:rFonts w:eastAsia="华文细黑"/>
          <w:szCs w:val="32"/>
        </w:rPr>
      </w:pPr>
    </w:p>
    <w:p>
      <w:pPr>
        <w:snapToGrid w:val="0"/>
        <w:jc w:val="center"/>
        <w:rPr>
          <w:rFonts w:eastAsia="楷体_GB2312"/>
          <w:szCs w:val="32"/>
        </w:rPr>
      </w:pPr>
      <w:r>
        <w:rPr>
          <w:rFonts w:eastAsia="楷体_GB2312"/>
          <w:szCs w:val="32"/>
        </w:rPr>
        <w:t>竣工验收现场核查组</w:t>
      </w:r>
    </w:p>
    <w:p>
      <w:pPr>
        <w:spacing w:line="580" w:lineRule="exact"/>
        <w:jc w:val="center"/>
        <w:rPr>
          <w:szCs w:val="32"/>
        </w:rPr>
      </w:pPr>
      <w:r>
        <w:rPr>
          <w:rFonts w:eastAsia="楷体_GB2312"/>
          <w:szCs w:val="32"/>
        </w:rPr>
        <w:t xml:space="preserve">    </w:t>
      </w:r>
      <w:r>
        <w:rPr>
          <w:rFonts w:hint="eastAsia" w:eastAsia="楷体_GB2312"/>
          <w:szCs w:val="32"/>
        </w:rPr>
        <w:t>年</w:t>
      </w:r>
      <w:r>
        <w:rPr>
          <w:rFonts w:eastAsia="楷体_GB2312"/>
          <w:szCs w:val="32"/>
        </w:rPr>
        <w:t xml:space="preserve">  </w:t>
      </w:r>
      <w:r>
        <w:rPr>
          <w:rFonts w:hint="eastAsia" w:eastAsia="楷体_GB2312"/>
          <w:szCs w:val="32"/>
        </w:rPr>
        <w:t>月</w:t>
      </w:r>
      <w:r>
        <w:rPr>
          <w:rFonts w:eastAsia="楷体_GB2312"/>
          <w:szCs w:val="32"/>
        </w:rPr>
        <w:t xml:space="preserve">  </w:t>
      </w:r>
      <w:r>
        <w:rPr>
          <w:rFonts w:hint="eastAsia" w:eastAsia="楷体_GB2312"/>
          <w:szCs w:val="32"/>
        </w:rPr>
        <w:t>日</w:t>
      </w:r>
      <w:r>
        <w:rPr>
          <w:rFonts w:eastAsia="楷体_GB2312"/>
          <w:sz w:val="28"/>
        </w:rPr>
        <w:br w:type="page"/>
      </w:r>
      <w:r>
        <w:rPr>
          <w:rFonts w:ascii="黑体" w:hAnsi="黑体" w:eastAsia="黑体"/>
          <w:szCs w:val="32"/>
        </w:rPr>
        <w:t>前  言</w:t>
      </w:r>
    </w:p>
    <w:p>
      <w:pPr>
        <w:snapToGrid w:val="0"/>
        <w:spacing w:line="580" w:lineRule="exact"/>
        <w:ind w:firstLine="640"/>
        <w:rPr>
          <w:szCs w:val="32"/>
        </w:rPr>
      </w:pPr>
      <w:r>
        <w:rPr>
          <w:szCs w:val="32"/>
        </w:rPr>
        <w:t>概述现场核查组组成，工作开展情况等。</w:t>
      </w:r>
    </w:p>
    <w:p>
      <w:pPr>
        <w:snapToGrid w:val="0"/>
        <w:spacing w:line="580" w:lineRule="exact"/>
        <w:ind w:firstLine="640"/>
        <w:jc w:val="center"/>
        <w:rPr>
          <w:rFonts w:ascii="黑体" w:hAnsi="黑体" w:eastAsia="黑体"/>
          <w:szCs w:val="32"/>
        </w:rPr>
      </w:pPr>
    </w:p>
    <w:p>
      <w:pPr>
        <w:snapToGrid w:val="0"/>
        <w:spacing w:line="580" w:lineRule="exact"/>
        <w:jc w:val="center"/>
        <w:rPr>
          <w:rFonts w:ascii="黑体" w:hAnsi="黑体" w:eastAsia="黑体"/>
          <w:szCs w:val="32"/>
        </w:rPr>
      </w:pPr>
      <w:r>
        <w:rPr>
          <w:rFonts w:ascii="黑体" w:hAnsi="黑体" w:eastAsia="黑体"/>
          <w:szCs w:val="32"/>
        </w:rPr>
        <w:t xml:space="preserve">第一章  </w:t>
      </w:r>
      <w:r>
        <w:rPr>
          <w:rFonts w:hint="eastAsia" w:ascii="黑体" w:hAnsi="黑体" w:eastAsia="黑体"/>
          <w:szCs w:val="32"/>
        </w:rPr>
        <w:t>项目</w:t>
      </w:r>
      <w:r>
        <w:rPr>
          <w:rFonts w:ascii="黑体" w:hAnsi="黑体" w:eastAsia="黑体"/>
          <w:szCs w:val="32"/>
        </w:rPr>
        <w:t>概况</w:t>
      </w:r>
    </w:p>
    <w:p>
      <w:pPr>
        <w:snapToGrid w:val="0"/>
        <w:spacing w:line="580" w:lineRule="exact"/>
        <w:ind w:firstLine="640"/>
        <w:rPr>
          <w:szCs w:val="32"/>
        </w:rPr>
      </w:pPr>
      <w:r>
        <w:rPr>
          <w:szCs w:val="32"/>
        </w:rPr>
        <w:t>概述</w:t>
      </w:r>
      <w:r>
        <w:rPr>
          <w:rFonts w:hint="eastAsia"/>
          <w:szCs w:val="32"/>
        </w:rPr>
        <w:t>项目</w:t>
      </w:r>
      <w:r>
        <w:rPr>
          <w:szCs w:val="32"/>
        </w:rPr>
        <w:t>建设规模、主要建设内容和投资、建设依据，主要参建单位，开工、完工日期等。</w:t>
      </w:r>
    </w:p>
    <w:p>
      <w:pPr>
        <w:snapToGrid w:val="0"/>
        <w:spacing w:line="580" w:lineRule="exact"/>
        <w:ind w:firstLine="640"/>
        <w:jc w:val="center"/>
        <w:rPr>
          <w:szCs w:val="32"/>
        </w:rPr>
      </w:pPr>
    </w:p>
    <w:p>
      <w:pPr>
        <w:snapToGrid w:val="0"/>
        <w:spacing w:line="580" w:lineRule="exact"/>
        <w:jc w:val="center"/>
        <w:rPr>
          <w:rFonts w:ascii="黑体" w:hAnsi="黑体" w:eastAsia="黑体"/>
          <w:szCs w:val="32"/>
        </w:rPr>
      </w:pPr>
      <w:r>
        <w:rPr>
          <w:rFonts w:ascii="黑体" w:hAnsi="黑体" w:eastAsia="黑体"/>
          <w:szCs w:val="32"/>
        </w:rPr>
        <w:t>第二章  竣工验收现场核查工作情况</w:t>
      </w:r>
    </w:p>
    <w:p>
      <w:pPr>
        <w:snapToGrid w:val="0"/>
        <w:spacing w:line="580" w:lineRule="exact"/>
        <w:ind w:firstLine="640"/>
        <w:rPr>
          <w:rFonts w:ascii="仿宋_GB2312"/>
          <w:szCs w:val="32"/>
        </w:rPr>
      </w:pPr>
      <w:r>
        <w:rPr>
          <w:rFonts w:hint="eastAsia" w:ascii="仿宋_GB2312"/>
          <w:szCs w:val="32"/>
        </w:rPr>
        <w:t xml:space="preserve">1.检查项目执行有关部门批准文件情况； </w:t>
      </w:r>
    </w:p>
    <w:p>
      <w:pPr>
        <w:snapToGrid w:val="0"/>
        <w:spacing w:line="580" w:lineRule="exact"/>
        <w:ind w:firstLine="640"/>
        <w:rPr>
          <w:rFonts w:ascii="仿宋_GB2312"/>
          <w:szCs w:val="32"/>
        </w:rPr>
      </w:pPr>
      <w:r>
        <w:rPr>
          <w:rFonts w:hint="eastAsia" w:ascii="仿宋_GB2312"/>
          <w:szCs w:val="32"/>
        </w:rPr>
        <w:t xml:space="preserve">2.检查项目实体质量； </w:t>
      </w:r>
    </w:p>
    <w:p>
      <w:pPr>
        <w:snapToGrid w:val="0"/>
        <w:spacing w:line="580" w:lineRule="exact"/>
        <w:ind w:firstLine="640"/>
        <w:rPr>
          <w:rFonts w:ascii="仿宋_GB2312"/>
          <w:szCs w:val="32"/>
        </w:rPr>
      </w:pPr>
      <w:r>
        <w:rPr>
          <w:rFonts w:hint="eastAsia" w:ascii="仿宋_GB2312"/>
          <w:szCs w:val="32"/>
        </w:rPr>
        <w:t>3.检查项目合同履约情况；</w:t>
      </w:r>
    </w:p>
    <w:p>
      <w:pPr>
        <w:snapToGrid w:val="0"/>
        <w:spacing w:line="580" w:lineRule="exact"/>
        <w:ind w:firstLine="640"/>
        <w:rPr>
          <w:rFonts w:ascii="仿宋_GB2312"/>
          <w:szCs w:val="32"/>
        </w:rPr>
      </w:pPr>
      <w:r>
        <w:rPr>
          <w:rFonts w:hint="eastAsia" w:ascii="仿宋_GB2312"/>
          <w:szCs w:val="32"/>
        </w:rPr>
        <w:t>4.检查项目执行强制性标准情况；</w:t>
      </w:r>
    </w:p>
    <w:p>
      <w:pPr>
        <w:snapToGrid w:val="0"/>
        <w:spacing w:line="580" w:lineRule="exact"/>
        <w:ind w:firstLine="640"/>
        <w:rPr>
          <w:rFonts w:ascii="仿宋_GB2312"/>
          <w:szCs w:val="32"/>
        </w:rPr>
      </w:pPr>
      <w:r>
        <w:rPr>
          <w:rFonts w:hint="eastAsia" w:ascii="仿宋_GB2312"/>
          <w:szCs w:val="32"/>
        </w:rPr>
        <w:t>5.检查竣工验收报告。</w:t>
      </w:r>
    </w:p>
    <w:p>
      <w:pPr>
        <w:snapToGrid w:val="0"/>
        <w:spacing w:line="580" w:lineRule="exact"/>
        <w:ind w:firstLine="640"/>
        <w:jc w:val="center"/>
        <w:rPr>
          <w:rFonts w:ascii="黑体" w:hAnsi="黑体" w:eastAsia="黑体"/>
          <w:szCs w:val="32"/>
        </w:rPr>
      </w:pPr>
    </w:p>
    <w:p>
      <w:pPr>
        <w:snapToGrid w:val="0"/>
        <w:spacing w:line="580" w:lineRule="exact"/>
        <w:jc w:val="center"/>
        <w:rPr>
          <w:rFonts w:ascii="黑体" w:hAnsi="黑体" w:eastAsia="黑体"/>
          <w:szCs w:val="32"/>
        </w:rPr>
      </w:pPr>
      <w:r>
        <w:rPr>
          <w:rFonts w:ascii="黑体" w:hAnsi="黑体" w:eastAsia="黑体"/>
          <w:szCs w:val="32"/>
        </w:rPr>
        <w:t>第三章  竣工验收现场核查结论</w:t>
      </w:r>
    </w:p>
    <w:p>
      <w:pPr>
        <w:snapToGrid w:val="0"/>
        <w:spacing w:line="580" w:lineRule="exact"/>
        <w:ind w:firstLine="640"/>
        <w:rPr>
          <w:rFonts w:ascii="仿宋_GB2312"/>
          <w:szCs w:val="32"/>
        </w:rPr>
      </w:pPr>
      <w:r>
        <w:rPr>
          <w:rFonts w:hint="eastAsia" w:ascii="仿宋_GB2312"/>
          <w:szCs w:val="32"/>
        </w:rPr>
        <w:t>1.对航道专项养护项目建设、设计、施工、监理等单位的工作作出综合评价；</w:t>
      </w:r>
    </w:p>
    <w:p>
      <w:pPr>
        <w:snapToGrid w:val="0"/>
        <w:spacing w:line="580" w:lineRule="exact"/>
        <w:ind w:firstLine="640"/>
        <w:rPr>
          <w:rFonts w:ascii="仿宋_GB2312"/>
          <w:szCs w:val="32"/>
        </w:rPr>
      </w:pPr>
      <w:r>
        <w:rPr>
          <w:rFonts w:hint="eastAsia" w:ascii="仿宋_GB2312"/>
          <w:szCs w:val="32"/>
        </w:rPr>
        <w:t>2.对项目竣工验收是否合格作出结论；</w:t>
      </w:r>
    </w:p>
    <w:p>
      <w:pPr>
        <w:snapToGrid w:val="0"/>
        <w:spacing w:line="580" w:lineRule="exact"/>
        <w:ind w:firstLine="640"/>
        <w:rPr>
          <w:rFonts w:ascii="仿宋_GB2312"/>
          <w:szCs w:val="32"/>
        </w:rPr>
      </w:pPr>
      <w:r>
        <w:rPr>
          <w:rFonts w:hint="eastAsia" w:ascii="仿宋_GB2312"/>
          <w:szCs w:val="32"/>
        </w:rPr>
        <w:t>3.现场核查发现的问题及处理意见；</w:t>
      </w:r>
    </w:p>
    <w:p>
      <w:pPr>
        <w:snapToGrid w:val="0"/>
        <w:spacing w:line="580" w:lineRule="exact"/>
        <w:ind w:firstLine="640"/>
        <w:rPr>
          <w:rFonts w:ascii="仿宋_GB2312"/>
          <w:szCs w:val="32"/>
        </w:rPr>
      </w:pPr>
      <w:r>
        <w:rPr>
          <w:rFonts w:hint="eastAsia" w:ascii="仿宋_GB2312"/>
          <w:szCs w:val="32"/>
        </w:rPr>
        <w:t>4.验收核查组成员对竣工验收的不同意见，现场研究情况，表决情况。</w:t>
      </w:r>
    </w:p>
    <w:p>
      <w:pPr>
        <w:snapToGrid w:val="0"/>
        <w:spacing w:line="580" w:lineRule="exact"/>
        <w:jc w:val="left"/>
        <w:rPr>
          <w:rFonts w:ascii="仿宋_GB2312" w:hAnsi="黑体"/>
          <w:szCs w:val="32"/>
        </w:rPr>
      </w:pPr>
      <w:r>
        <w:rPr>
          <w:rFonts w:hint="eastAsia" w:ascii="仿宋_GB2312" w:hAnsi="黑体"/>
          <w:szCs w:val="32"/>
        </w:rPr>
        <w:t>附件</w:t>
      </w:r>
      <w:r>
        <w:rPr>
          <w:rFonts w:hint="eastAsia" w:ascii="黑体" w:hAnsi="黑体" w:eastAsia="黑体"/>
          <w:szCs w:val="32"/>
        </w:rPr>
        <w:t xml:space="preserve">  </w:t>
      </w:r>
      <w:r>
        <w:rPr>
          <w:rFonts w:hint="eastAsia" w:ascii="仿宋_GB2312"/>
          <w:szCs w:val="32"/>
        </w:rPr>
        <w:t>竣工验收现场核查组签字表</w:t>
      </w:r>
    </w:p>
    <w:p>
      <w:pPr>
        <w:snapToGrid w:val="0"/>
        <w:spacing w:line="580" w:lineRule="exact"/>
        <w:jc w:val="center"/>
        <w:rPr>
          <w:rFonts w:hint="eastAsia" w:ascii="黑体" w:hAnsi="黑体" w:eastAsia="黑体"/>
          <w:szCs w:val="32"/>
        </w:rPr>
      </w:pPr>
    </w:p>
    <w:p>
      <w:pPr>
        <w:snapToGrid w:val="0"/>
        <w:spacing w:line="580" w:lineRule="exact"/>
        <w:jc w:val="center"/>
        <w:rPr>
          <w:rFonts w:ascii="黑体" w:hAnsi="黑体" w:eastAsia="黑体"/>
          <w:szCs w:val="32"/>
        </w:rPr>
      </w:pPr>
      <w:r>
        <w:rPr>
          <w:rFonts w:hint="eastAsia" w:ascii="黑体" w:hAnsi="黑体" w:eastAsia="黑体"/>
          <w:szCs w:val="32"/>
        </w:rPr>
        <w:t>竣工验收现场核查组签字表</w:t>
      </w:r>
    </w:p>
    <w:p>
      <w:pPr>
        <w:snapToGrid w:val="0"/>
        <w:spacing w:line="580" w:lineRule="exact"/>
        <w:ind w:firstLine="640"/>
        <w:jc w:val="center"/>
        <w:rPr>
          <w:rFonts w:ascii="黑体" w:hAnsi="黑体" w:eastAsia="黑体"/>
          <w:szCs w:val="32"/>
        </w:rPr>
      </w:pPr>
    </w:p>
    <w:tbl>
      <w:tblPr>
        <w:tblStyle w:val="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699"/>
        <w:gridCol w:w="1321"/>
        <w:gridCol w:w="2642"/>
        <w:gridCol w:w="1901"/>
        <w:gridCol w:w="14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3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r>
              <w:rPr>
                <w:rFonts w:hint="eastAsia" w:ascii="仿宋_GB2312"/>
                <w:sz w:val="28"/>
                <w:szCs w:val="28"/>
              </w:rPr>
              <w:t>验收职务</w:t>
            </w: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r>
              <w:rPr>
                <w:rFonts w:hint="eastAsia" w:ascii="仿宋_GB2312"/>
                <w:sz w:val="28"/>
                <w:szCs w:val="28"/>
              </w:rPr>
              <w:t>姓名</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r>
              <w:rPr>
                <w:rFonts w:hint="eastAsia" w:ascii="仿宋_GB2312"/>
                <w:sz w:val="28"/>
                <w:szCs w:val="28"/>
              </w:rPr>
              <w:t>单位名称</w:t>
            </w:r>
          </w:p>
        </w:tc>
        <w:tc>
          <w:tcPr>
            <w:tcW w:w="104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r>
              <w:rPr>
                <w:rFonts w:hint="eastAsia" w:ascii="仿宋_GB2312"/>
                <w:sz w:val="28"/>
                <w:szCs w:val="28"/>
              </w:rPr>
              <w:t>职务/职称</w:t>
            </w:r>
          </w:p>
        </w:tc>
        <w:tc>
          <w:tcPr>
            <w:tcW w:w="82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r>
              <w:rPr>
                <w:rFonts w:hint="eastAsia" w:ascii="仿宋_GB2312"/>
                <w:sz w:val="28"/>
                <w:szCs w:val="28"/>
              </w:rPr>
              <w:t>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3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r>
              <w:rPr>
                <w:rFonts w:hint="eastAsia" w:ascii="仿宋_GB2312"/>
                <w:sz w:val="28"/>
                <w:szCs w:val="28"/>
              </w:rPr>
              <w:t>组长</w:t>
            </w: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45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04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82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3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r>
              <w:rPr>
                <w:rFonts w:hint="eastAsia" w:ascii="仿宋_GB2312"/>
                <w:sz w:val="28"/>
                <w:szCs w:val="28"/>
              </w:rPr>
              <w:t>副组长</w:t>
            </w: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45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04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82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3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45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04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82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3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r>
              <w:rPr>
                <w:rFonts w:hint="eastAsia" w:ascii="仿宋_GB2312"/>
                <w:sz w:val="28"/>
                <w:szCs w:val="28"/>
              </w:rPr>
              <w:t>成员</w:t>
            </w: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45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04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82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3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45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04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82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3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45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04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82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3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45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04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82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3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45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04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82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3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45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04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82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3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45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104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c>
          <w:tcPr>
            <w:tcW w:w="82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sz w:val="28"/>
                <w:szCs w:val="28"/>
              </w:rPr>
            </w:pPr>
          </w:p>
        </w:tc>
      </w:tr>
    </w:tbl>
    <w:p>
      <w:pPr>
        <w:ind w:firstLine="640"/>
        <w:rPr>
          <w:rFonts w:hint="eastAsia" w:ascii="黑体" w:hAnsi="黑体" w:eastAsia="黑体"/>
        </w:rPr>
      </w:pPr>
    </w:p>
    <w:p>
      <w:pPr>
        <w:ind w:firstLine="640"/>
        <w:rPr>
          <w:rFonts w:hint="eastAsia" w:ascii="黑体" w:hAnsi="黑体" w:eastAsia="黑体"/>
        </w:rPr>
      </w:pPr>
    </w:p>
    <w:p>
      <w:pPr>
        <w:ind w:firstLine="640"/>
        <w:rPr>
          <w:rFonts w:hint="eastAsia" w:ascii="黑体" w:hAnsi="黑体" w:eastAsia="黑体"/>
        </w:rPr>
      </w:pPr>
    </w:p>
    <w:p>
      <w:pPr>
        <w:ind w:firstLine="640"/>
        <w:rPr>
          <w:rFonts w:ascii="黑体" w:hAnsi="黑体" w:eastAsia="黑体"/>
        </w:rPr>
      </w:pPr>
    </w:p>
    <w:p>
      <w:pPr>
        <w:adjustRightInd w:val="0"/>
        <w:snapToGrid w:val="0"/>
        <w:spacing w:line="700" w:lineRule="exact"/>
        <w:jc w:val="left"/>
        <w:rPr>
          <w:rFonts w:ascii="黑体" w:hAnsi="黑体" w:eastAsia="黑体"/>
          <w:bCs/>
          <w:szCs w:val="32"/>
        </w:rPr>
      </w:pPr>
      <w:r>
        <w:rPr>
          <w:rFonts w:hint="eastAsia" w:ascii="黑体" w:hAnsi="黑体" w:eastAsia="黑体"/>
          <w:bCs/>
          <w:szCs w:val="32"/>
        </w:rPr>
        <w:t>附件7</w:t>
      </w:r>
    </w:p>
    <w:p>
      <w:pPr>
        <w:adjustRightInd w:val="0"/>
        <w:snapToGrid w:val="0"/>
        <w:spacing w:line="7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项 目 竣 工 验 收 报 告</w:t>
      </w:r>
    </w:p>
    <w:p>
      <w:pPr>
        <w:autoSpaceDE w:val="0"/>
        <w:autoSpaceDN w:val="0"/>
        <w:adjustRightInd w:val="0"/>
        <w:snapToGrid w:val="0"/>
        <w:ind w:firstLine="560"/>
        <w:rPr>
          <w:rFonts w:ascii="仿宋_GB2312"/>
          <w:szCs w:val="32"/>
        </w:rPr>
      </w:pPr>
    </w:p>
    <w:p>
      <w:pPr>
        <w:ind w:firstLine="640"/>
        <w:rPr>
          <w:rFonts w:ascii="黑体" w:hAnsi="黑体" w:eastAsia="黑体"/>
          <w:szCs w:val="32"/>
        </w:rPr>
      </w:pPr>
      <w:r>
        <w:rPr>
          <w:rFonts w:hint="eastAsia" w:ascii="黑体" w:hAnsi="黑体" w:eastAsia="黑体"/>
          <w:szCs w:val="32"/>
        </w:rPr>
        <w:t>一、设计批复文件</w:t>
      </w:r>
    </w:p>
    <w:p>
      <w:pPr>
        <w:ind w:firstLine="640"/>
        <w:rPr>
          <w:rFonts w:ascii="仿宋_GB2312"/>
          <w:szCs w:val="32"/>
        </w:rPr>
      </w:pPr>
      <w:r>
        <w:rPr>
          <w:rFonts w:hint="eastAsia" w:ascii="仿宋_GB2312"/>
          <w:szCs w:val="32"/>
        </w:rPr>
        <w:t>包括补充批复、调整批复和重大设计变更批复。</w:t>
      </w:r>
    </w:p>
    <w:p>
      <w:pPr>
        <w:ind w:firstLine="640"/>
        <w:rPr>
          <w:rFonts w:ascii="黑体" w:hAnsi="黑体" w:eastAsia="黑体"/>
          <w:szCs w:val="32"/>
        </w:rPr>
      </w:pPr>
      <w:r>
        <w:rPr>
          <w:rFonts w:hint="eastAsia" w:ascii="黑体" w:hAnsi="黑体" w:eastAsia="黑体"/>
          <w:szCs w:val="32"/>
        </w:rPr>
        <w:t>二、项目单位总结</w:t>
      </w:r>
    </w:p>
    <w:p>
      <w:pPr>
        <w:ind w:firstLine="640"/>
        <w:rPr>
          <w:rFonts w:ascii="仿宋_GB2312"/>
          <w:szCs w:val="32"/>
        </w:rPr>
      </w:pPr>
      <w:r>
        <w:rPr>
          <w:rFonts w:hint="eastAsia" w:ascii="仿宋_GB2312"/>
          <w:szCs w:val="32"/>
        </w:rPr>
        <w:t>（一）项目概况：包括项目背景及意义、项目地点、规模、标准和主要内容、开工和完工时间、实际完成工程量等；</w:t>
      </w:r>
    </w:p>
    <w:p>
      <w:pPr>
        <w:ind w:firstLine="640"/>
        <w:rPr>
          <w:rFonts w:ascii="仿宋_GB2312"/>
          <w:szCs w:val="32"/>
        </w:rPr>
      </w:pPr>
      <w:r>
        <w:rPr>
          <w:rFonts w:hint="eastAsia" w:ascii="仿宋_GB2312"/>
          <w:szCs w:val="32"/>
        </w:rPr>
        <w:t>（二）招标投标及合同管理：标段划分、开标情况，合同签订情况（中标单位，中标金额）等；</w:t>
      </w:r>
    </w:p>
    <w:p>
      <w:pPr>
        <w:ind w:firstLine="640"/>
        <w:rPr>
          <w:rFonts w:ascii="仿宋_GB2312"/>
          <w:szCs w:val="32"/>
        </w:rPr>
      </w:pPr>
      <w:r>
        <w:rPr>
          <w:rFonts w:hint="eastAsia" w:ascii="仿宋_GB2312"/>
          <w:szCs w:val="32"/>
        </w:rPr>
        <w:t>（三）安全、质量、进度管理、文明施工及环保措施情况；</w:t>
      </w:r>
    </w:p>
    <w:p>
      <w:pPr>
        <w:ind w:firstLine="640"/>
        <w:rPr>
          <w:rFonts w:ascii="仿宋_GB2312"/>
          <w:szCs w:val="32"/>
        </w:rPr>
      </w:pPr>
      <w:r>
        <w:rPr>
          <w:rFonts w:hint="eastAsia" w:ascii="仿宋_GB2312"/>
          <w:szCs w:val="32"/>
        </w:rPr>
        <w:t>（四）项目变更情况：变更原因、变更内容、变更审批程序、变更工程量及金额等；</w:t>
      </w:r>
    </w:p>
    <w:p>
      <w:pPr>
        <w:ind w:firstLine="640"/>
        <w:rPr>
          <w:rFonts w:ascii="仿宋_GB2312"/>
          <w:szCs w:val="32"/>
        </w:rPr>
      </w:pPr>
      <w:r>
        <w:rPr>
          <w:rFonts w:hint="eastAsia" w:ascii="仿宋_GB2312"/>
          <w:szCs w:val="32"/>
        </w:rPr>
        <w:t>（五）投资管理：批复概算与实际投资执行情况、结余资金情况、资金支付情况（如果有建设单位管理费使用情况，须详细列出管理费分类使用情况等）；</w:t>
      </w:r>
    </w:p>
    <w:p>
      <w:pPr>
        <w:ind w:firstLine="640"/>
        <w:rPr>
          <w:rFonts w:ascii="仿宋_GB2312"/>
          <w:szCs w:val="32"/>
        </w:rPr>
      </w:pPr>
      <w:r>
        <w:rPr>
          <w:rFonts w:hint="eastAsia" w:ascii="仿宋_GB2312"/>
          <w:szCs w:val="32"/>
        </w:rPr>
        <w:t>（六）审计报告中提出问题及整改落实情况；</w:t>
      </w:r>
    </w:p>
    <w:p>
      <w:pPr>
        <w:ind w:firstLine="625" w:firstLineChars="199"/>
        <w:rPr>
          <w:rFonts w:ascii="仿宋_GB2312"/>
          <w:szCs w:val="32"/>
        </w:rPr>
      </w:pPr>
      <w:r>
        <w:rPr>
          <w:rFonts w:hint="eastAsia" w:ascii="仿宋_GB2312"/>
          <w:szCs w:val="32"/>
        </w:rPr>
        <w:t>（七）项目总体评价：对主要参建单位的评价、已取得成效或发挥效益、四新技术应用（如果有），出现的问题及原因分析，建设管理体会及建议等。</w:t>
      </w:r>
    </w:p>
    <w:p>
      <w:pPr>
        <w:ind w:firstLine="640"/>
        <w:rPr>
          <w:rFonts w:ascii="黑体" w:hAnsi="黑体" w:eastAsia="黑体"/>
          <w:szCs w:val="32"/>
        </w:rPr>
      </w:pPr>
      <w:r>
        <w:rPr>
          <w:rFonts w:hint="eastAsia" w:ascii="黑体" w:hAnsi="黑体" w:eastAsia="黑体"/>
          <w:szCs w:val="32"/>
        </w:rPr>
        <w:t>三、设计单位总结</w:t>
      </w:r>
    </w:p>
    <w:p>
      <w:pPr>
        <w:ind w:firstLine="640"/>
        <w:rPr>
          <w:rFonts w:ascii="仿宋_GB2312"/>
          <w:szCs w:val="32"/>
        </w:rPr>
      </w:pPr>
      <w:r>
        <w:rPr>
          <w:rFonts w:hint="eastAsia" w:ascii="仿宋_GB2312"/>
          <w:szCs w:val="32"/>
        </w:rPr>
        <w:t>（一）项目概况；</w:t>
      </w:r>
    </w:p>
    <w:p>
      <w:pPr>
        <w:ind w:firstLine="640"/>
        <w:rPr>
          <w:rFonts w:ascii="仿宋_GB2312"/>
          <w:szCs w:val="32"/>
        </w:rPr>
      </w:pPr>
      <w:r>
        <w:rPr>
          <w:rFonts w:hint="eastAsia" w:ascii="仿宋_GB2312"/>
          <w:szCs w:val="32"/>
        </w:rPr>
        <w:t>（二）设计内容、标准；</w:t>
      </w:r>
    </w:p>
    <w:p>
      <w:pPr>
        <w:ind w:firstLine="640"/>
        <w:rPr>
          <w:rFonts w:ascii="仿宋_GB2312"/>
          <w:szCs w:val="32"/>
        </w:rPr>
      </w:pPr>
      <w:r>
        <w:rPr>
          <w:rFonts w:hint="eastAsia" w:ascii="仿宋_GB2312"/>
          <w:szCs w:val="32"/>
        </w:rPr>
        <w:t>（三）设计执行情况及设计变更；</w:t>
      </w:r>
    </w:p>
    <w:p>
      <w:pPr>
        <w:ind w:firstLine="640"/>
        <w:rPr>
          <w:rFonts w:ascii="仿宋_GB2312"/>
          <w:szCs w:val="32"/>
        </w:rPr>
      </w:pPr>
      <w:r>
        <w:rPr>
          <w:rFonts w:hint="eastAsia" w:ascii="仿宋_GB2312"/>
          <w:szCs w:val="32"/>
        </w:rPr>
        <w:t>（四）设计单位质量管理与服务情况：主要反映针对项目特点、难点，所采取的设计管理措施；</w:t>
      </w:r>
    </w:p>
    <w:p>
      <w:pPr>
        <w:ind w:firstLine="640"/>
        <w:rPr>
          <w:rFonts w:ascii="仿宋_GB2312"/>
          <w:szCs w:val="32"/>
        </w:rPr>
      </w:pPr>
      <w:r>
        <w:rPr>
          <w:rFonts w:hint="eastAsia" w:ascii="仿宋_GB2312"/>
          <w:szCs w:val="32"/>
        </w:rPr>
        <w:t>（五）“四新”技术的应用（如有）；</w:t>
      </w:r>
    </w:p>
    <w:p>
      <w:pPr>
        <w:ind w:firstLine="640"/>
        <w:rPr>
          <w:rFonts w:ascii="仿宋_GB2312"/>
          <w:szCs w:val="32"/>
        </w:rPr>
      </w:pPr>
      <w:r>
        <w:rPr>
          <w:rFonts w:hint="eastAsia" w:ascii="仿宋_GB2312"/>
          <w:szCs w:val="32"/>
        </w:rPr>
        <w:t>（六）设计评价：项目是否满足设计要求，是否按照设计内容完成，设计效果评价及经验总结；</w:t>
      </w:r>
    </w:p>
    <w:p>
      <w:pPr>
        <w:ind w:firstLine="640"/>
        <w:rPr>
          <w:rFonts w:ascii="仿宋_GB2312"/>
          <w:szCs w:val="32"/>
        </w:rPr>
      </w:pPr>
      <w:r>
        <w:rPr>
          <w:rFonts w:hint="eastAsia" w:ascii="仿宋_GB2312"/>
          <w:szCs w:val="32"/>
        </w:rPr>
        <w:t>（七）问题与建议。</w:t>
      </w:r>
    </w:p>
    <w:p>
      <w:pPr>
        <w:ind w:firstLine="640"/>
        <w:rPr>
          <w:rFonts w:ascii="黑体" w:hAnsi="黑体" w:eastAsia="黑体"/>
          <w:szCs w:val="32"/>
        </w:rPr>
      </w:pPr>
      <w:r>
        <w:rPr>
          <w:rFonts w:hint="eastAsia" w:ascii="黑体" w:hAnsi="黑体" w:eastAsia="黑体"/>
          <w:szCs w:val="32"/>
        </w:rPr>
        <w:t>四、施工单位总结</w:t>
      </w:r>
    </w:p>
    <w:p>
      <w:pPr>
        <w:ind w:firstLine="640"/>
        <w:rPr>
          <w:rFonts w:ascii="仿宋_GB2312"/>
          <w:szCs w:val="32"/>
        </w:rPr>
      </w:pPr>
      <w:r>
        <w:rPr>
          <w:rFonts w:hint="eastAsia" w:ascii="仿宋_GB2312"/>
          <w:szCs w:val="32"/>
        </w:rPr>
        <w:t>（一）项目概况：项目规模、承包单位基本情况及完成的主要工程量；</w:t>
      </w:r>
    </w:p>
    <w:p>
      <w:pPr>
        <w:ind w:firstLine="640"/>
        <w:rPr>
          <w:rFonts w:ascii="仿宋_GB2312"/>
          <w:szCs w:val="32"/>
        </w:rPr>
      </w:pPr>
      <w:r>
        <w:rPr>
          <w:rFonts w:hint="eastAsia" w:ascii="仿宋_GB2312"/>
          <w:szCs w:val="32"/>
        </w:rPr>
        <w:t>（二）施工组织：施工组织机构设置与人员配备、施工组织计划及实施情况、主要施工工艺，以及是否存在工程分包等；</w:t>
      </w:r>
    </w:p>
    <w:p>
      <w:pPr>
        <w:ind w:firstLine="640"/>
        <w:rPr>
          <w:rFonts w:ascii="仿宋_GB2312"/>
          <w:szCs w:val="32"/>
        </w:rPr>
      </w:pPr>
      <w:r>
        <w:rPr>
          <w:rFonts w:hint="eastAsia" w:ascii="仿宋_GB2312"/>
          <w:szCs w:val="32"/>
        </w:rPr>
        <w:t xml:space="preserve">（三）质量管理与控制：质量自评、质量问题及事故（如有）整改情况； </w:t>
      </w:r>
    </w:p>
    <w:p>
      <w:pPr>
        <w:ind w:firstLine="640"/>
        <w:rPr>
          <w:rFonts w:ascii="仿宋_GB2312"/>
          <w:szCs w:val="32"/>
        </w:rPr>
      </w:pPr>
      <w:r>
        <w:rPr>
          <w:rFonts w:hint="eastAsia" w:ascii="仿宋_GB2312"/>
          <w:szCs w:val="32"/>
        </w:rPr>
        <w:t>（四）项目变更：项目变更原因、变更内容、对工程量、投资、工期等的影响；</w:t>
      </w:r>
    </w:p>
    <w:p>
      <w:pPr>
        <w:ind w:firstLine="640"/>
        <w:rPr>
          <w:rFonts w:ascii="仿宋_GB2312"/>
          <w:szCs w:val="32"/>
        </w:rPr>
      </w:pPr>
      <w:r>
        <w:rPr>
          <w:rFonts w:hint="eastAsia" w:ascii="仿宋_GB2312"/>
          <w:szCs w:val="32"/>
        </w:rPr>
        <w:t>（五）安全、进度、环保与文明施工：项目是否发生安全事故，是否按期完成，施工中所采取的环保措施等；</w:t>
      </w:r>
    </w:p>
    <w:p>
      <w:pPr>
        <w:ind w:firstLine="640"/>
        <w:rPr>
          <w:rFonts w:ascii="仿宋_GB2312"/>
          <w:szCs w:val="32"/>
        </w:rPr>
      </w:pPr>
      <w:r>
        <w:rPr>
          <w:rFonts w:hint="eastAsia" w:ascii="仿宋_GB2312"/>
          <w:szCs w:val="32"/>
        </w:rPr>
        <w:t>（五）竣工资料整理情况；</w:t>
      </w:r>
    </w:p>
    <w:p>
      <w:pPr>
        <w:ind w:firstLine="640"/>
        <w:rPr>
          <w:rFonts w:ascii="仿宋_GB2312"/>
          <w:szCs w:val="32"/>
        </w:rPr>
      </w:pPr>
      <w:r>
        <w:rPr>
          <w:rFonts w:hint="eastAsia" w:ascii="仿宋_GB2312"/>
          <w:szCs w:val="32"/>
        </w:rPr>
        <w:t>（六）“四新”技术的应用（如有）及关键技术处理；</w:t>
      </w:r>
    </w:p>
    <w:p>
      <w:pPr>
        <w:ind w:firstLine="640"/>
        <w:rPr>
          <w:rFonts w:ascii="仿宋_GB2312"/>
          <w:szCs w:val="32"/>
        </w:rPr>
      </w:pPr>
      <w:r>
        <w:rPr>
          <w:rFonts w:hint="eastAsia" w:ascii="仿宋_GB2312"/>
          <w:szCs w:val="32"/>
        </w:rPr>
        <w:t>（七）经验总结。</w:t>
      </w:r>
    </w:p>
    <w:p>
      <w:pPr>
        <w:ind w:firstLine="640"/>
        <w:rPr>
          <w:rFonts w:ascii="黑体" w:hAnsi="黑体" w:eastAsia="黑体"/>
          <w:szCs w:val="32"/>
        </w:rPr>
      </w:pPr>
      <w:r>
        <w:rPr>
          <w:rFonts w:hint="eastAsia" w:ascii="黑体" w:hAnsi="黑体" w:eastAsia="黑体"/>
          <w:szCs w:val="32"/>
        </w:rPr>
        <w:t>五、监理单位总结</w:t>
      </w:r>
    </w:p>
    <w:p>
      <w:pPr>
        <w:ind w:firstLine="640"/>
        <w:rPr>
          <w:rFonts w:ascii="仿宋_GB2312"/>
          <w:szCs w:val="32"/>
        </w:rPr>
      </w:pPr>
      <w:r>
        <w:rPr>
          <w:rFonts w:hint="eastAsia" w:ascii="仿宋_GB2312"/>
          <w:szCs w:val="32"/>
        </w:rPr>
        <w:t>（一）项目概况；</w:t>
      </w:r>
    </w:p>
    <w:p>
      <w:pPr>
        <w:ind w:firstLine="640"/>
        <w:rPr>
          <w:rFonts w:ascii="仿宋_GB2312"/>
          <w:szCs w:val="32"/>
        </w:rPr>
      </w:pPr>
      <w:r>
        <w:rPr>
          <w:rFonts w:hint="eastAsia" w:ascii="仿宋_GB2312"/>
          <w:szCs w:val="32"/>
        </w:rPr>
        <w:t>（二）监理规划：组织机构、人员和设备，监理制度、监理检测情况；</w:t>
      </w:r>
    </w:p>
    <w:p>
      <w:pPr>
        <w:ind w:firstLine="640"/>
        <w:rPr>
          <w:rFonts w:ascii="仿宋_GB2312"/>
          <w:szCs w:val="32"/>
        </w:rPr>
      </w:pPr>
      <w:r>
        <w:rPr>
          <w:rFonts w:hint="eastAsia" w:ascii="仿宋_GB2312"/>
          <w:szCs w:val="32"/>
        </w:rPr>
        <w:t>（三）监理过程</w:t>
      </w:r>
    </w:p>
    <w:p>
      <w:pPr>
        <w:ind w:firstLine="640"/>
        <w:rPr>
          <w:rFonts w:ascii="仿宋_GB2312"/>
          <w:szCs w:val="32"/>
        </w:rPr>
      </w:pPr>
      <w:r>
        <w:rPr>
          <w:rFonts w:hint="eastAsia" w:ascii="仿宋_GB2312"/>
          <w:szCs w:val="32"/>
        </w:rPr>
        <w:t>1.项目质量控制：对承包单位自检体系的控制、对项目施工的过程控制情况（监理指令数量及主要内容）、隐蔽工程检查、监理试验情况、项目质量事故的处理（如有）；</w:t>
      </w:r>
    </w:p>
    <w:p>
      <w:pPr>
        <w:ind w:firstLine="640"/>
        <w:rPr>
          <w:rFonts w:ascii="仿宋_GB2312"/>
          <w:szCs w:val="32"/>
        </w:rPr>
      </w:pPr>
      <w:r>
        <w:rPr>
          <w:rFonts w:hint="eastAsia" w:ascii="仿宋_GB2312"/>
          <w:szCs w:val="32"/>
        </w:rPr>
        <w:t>2.进度控制；</w:t>
      </w:r>
    </w:p>
    <w:p>
      <w:pPr>
        <w:ind w:firstLine="640"/>
        <w:rPr>
          <w:rFonts w:ascii="仿宋_GB2312"/>
          <w:szCs w:val="32"/>
        </w:rPr>
      </w:pPr>
      <w:r>
        <w:rPr>
          <w:rFonts w:hint="eastAsia" w:ascii="仿宋_GB2312"/>
          <w:szCs w:val="32"/>
        </w:rPr>
        <w:t>3.项目变更；</w:t>
      </w:r>
    </w:p>
    <w:p>
      <w:pPr>
        <w:ind w:firstLine="640"/>
        <w:rPr>
          <w:rFonts w:ascii="仿宋_GB2312"/>
          <w:szCs w:val="32"/>
        </w:rPr>
      </w:pPr>
      <w:r>
        <w:rPr>
          <w:rFonts w:hint="eastAsia" w:ascii="仿宋_GB2312"/>
          <w:szCs w:val="32"/>
        </w:rPr>
        <w:t>4.施工安全与环境保护；</w:t>
      </w:r>
    </w:p>
    <w:p>
      <w:pPr>
        <w:ind w:firstLine="640"/>
        <w:rPr>
          <w:rFonts w:ascii="仿宋_GB2312"/>
          <w:szCs w:val="32"/>
        </w:rPr>
      </w:pPr>
      <w:r>
        <w:rPr>
          <w:rFonts w:hint="eastAsia" w:ascii="仿宋_GB2312"/>
          <w:szCs w:val="32"/>
        </w:rPr>
        <w:t>5.计量支付与投资控制。</w:t>
      </w:r>
    </w:p>
    <w:p>
      <w:pPr>
        <w:ind w:firstLine="640"/>
        <w:rPr>
          <w:rFonts w:ascii="仿宋_GB2312"/>
          <w:szCs w:val="32"/>
        </w:rPr>
      </w:pPr>
      <w:r>
        <w:rPr>
          <w:rFonts w:hint="eastAsia" w:ascii="仿宋_GB2312"/>
          <w:szCs w:val="32"/>
        </w:rPr>
        <w:t>（四）监理效果：项目投资、质量、进度等综合评价，项目质量安全问题的处理情况（如果有）；</w:t>
      </w:r>
    </w:p>
    <w:p>
      <w:pPr>
        <w:ind w:firstLine="640"/>
        <w:rPr>
          <w:rFonts w:ascii="仿宋_GB2312"/>
          <w:szCs w:val="32"/>
        </w:rPr>
      </w:pPr>
      <w:r>
        <w:rPr>
          <w:rFonts w:hint="eastAsia" w:ascii="仿宋_GB2312"/>
          <w:szCs w:val="32"/>
        </w:rPr>
        <w:t>（五）遗留问题与处理意见；</w:t>
      </w:r>
    </w:p>
    <w:p>
      <w:pPr>
        <w:ind w:firstLine="640"/>
        <w:rPr>
          <w:rFonts w:ascii="仿宋_GB2312"/>
          <w:szCs w:val="32"/>
        </w:rPr>
      </w:pPr>
      <w:r>
        <w:rPr>
          <w:rFonts w:hint="eastAsia" w:ascii="仿宋_GB2312"/>
          <w:szCs w:val="32"/>
        </w:rPr>
        <w:t>（六）经验与建议。</w:t>
      </w:r>
    </w:p>
    <w:p>
      <w:pPr>
        <w:ind w:firstLine="640"/>
        <w:rPr>
          <w:rFonts w:ascii="黑体" w:hAnsi="黑体" w:eastAsia="黑体"/>
          <w:szCs w:val="32"/>
        </w:rPr>
      </w:pPr>
      <w:r>
        <w:rPr>
          <w:rFonts w:hint="eastAsia" w:ascii="黑体" w:hAnsi="黑体" w:eastAsia="黑体"/>
          <w:szCs w:val="32"/>
        </w:rPr>
        <w:t>六、交（竣）工质量评定报告</w:t>
      </w:r>
    </w:p>
    <w:p>
      <w:pPr>
        <w:ind w:firstLine="640"/>
        <w:rPr>
          <w:rFonts w:ascii="仿宋_GB2312"/>
          <w:szCs w:val="32"/>
        </w:rPr>
      </w:pPr>
      <w:r>
        <w:rPr>
          <w:rFonts w:hint="eastAsia" w:ascii="仿宋_GB2312"/>
          <w:szCs w:val="32"/>
        </w:rPr>
        <w:t>交工质量检测报告（如果委托第三方检测）、交工质量评定报告（表）、交（竣）工质量评定备案管理表。</w:t>
      </w:r>
    </w:p>
    <w:p>
      <w:pPr>
        <w:ind w:firstLine="640"/>
        <w:rPr>
          <w:rFonts w:ascii="黑体" w:hAnsi="黑体" w:eastAsia="黑体"/>
          <w:szCs w:val="32"/>
        </w:rPr>
      </w:pPr>
      <w:r>
        <w:rPr>
          <w:rFonts w:hint="eastAsia" w:ascii="黑体" w:hAnsi="黑体" w:eastAsia="黑体"/>
          <w:szCs w:val="32"/>
        </w:rPr>
        <w:t>七、工程造价审计报告及竣工财务决算审计报告</w:t>
      </w:r>
    </w:p>
    <w:p>
      <w:pPr>
        <w:ind w:firstLine="640"/>
        <w:rPr>
          <w:rFonts w:ascii="仿宋_GB2312"/>
          <w:szCs w:val="32"/>
        </w:rPr>
      </w:pPr>
      <w:r>
        <w:rPr>
          <w:rFonts w:hint="eastAsia" w:ascii="仿宋_GB2312"/>
          <w:szCs w:val="32"/>
        </w:rPr>
        <w:t>工程造价审计情况（如果有报告应附造价审计报告）、竣工财务决算审计情况及主要结论（附财务决算审计报告）。</w:t>
      </w:r>
    </w:p>
    <w:p>
      <w:pPr>
        <w:ind w:firstLine="640"/>
        <w:rPr>
          <w:rFonts w:ascii="黑体" w:hAnsi="黑体" w:eastAsia="黑体"/>
          <w:szCs w:val="32"/>
        </w:rPr>
      </w:pPr>
      <w:r>
        <w:rPr>
          <w:rFonts w:hint="eastAsia" w:ascii="黑体" w:hAnsi="黑体" w:eastAsia="黑体"/>
          <w:szCs w:val="32"/>
        </w:rPr>
        <w:t>八、图片影像资料</w:t>
      </w:r>
    </w:p>
    <w:p>
      <w:pPr>
        <w:ind w:firstLine="640"/>
        <w:rPr>
          <w:rFonts w:ascii="仿宋_GB2312"/>
          <w:szCs w:val="32"/>
        </w:rPr>
      </w:pPr>
      <w:r>
        <w:rPr>
          <w:rFonts w:hint="eastAsia" w:ascii="仿宋_GB2312"/>
          <w:szCs w:val="32"/>
        </w:rPr>
        <w:t>项目实施前后对比、关键施工工序、相关变更情况的照片及影像（航拍）资料等。</w:t>
      </w:r>
    </w:p>
    <w:p>
      <w:pPr>
        <w:ind w:firstLine="640"/>
        <w:rPr>
          <w:rFonts w:ascii="黑体" w:hAnsi="黑体" w:eastAsia="黑体"/>
          <w:szCs w:val="32"/>
        </w:rPr>
      </w:pPr>
      <w:r>
        <w:rPr>
          <w:rFonts w:hint="eastAsia" w:ascii="黑体" w:hAnsi="黑体" w:eastAsia="黑体"/>
          <w:szCs w:val="32"/>
        </w:rPr>
        <w:t>九、竣工图（疏浚项目除外）</w:t>
      </w:r>
    </w:p>
    <w:p>
      <w:pPr>
        <w:ind w:firstLine="628" w:firstLineChars="200"/>
        <w:rPr>
          <w:rFonts w:ascii="仿宋_GB2312"/>
          <w:szCs w:val="32"/>
        </w:rPr>
        <w:sectPr>
          <w:pgSz w:w="11906" w:h="16838"/>
          <w:pgMar w:top="2098" w:right="1474" w:bottom="1985" w:left="1588" w:header="851" w:footer="1418" w:gutter="0"/>
          <w:cols w:space="425" w:num="1"/>
          <w:docGrid w:type="linesAndChars" w:linePitch="579" w:charSpace="-1266"/>
        </w:sectPr>
      </w:pPr>
      <w:r>
        <w:rPr>
          <w:rFonts w:hint="eastAsia" w:ascii="仿宋_GB2312"/>
          <w:szCs w:val="32"/>
        </w:rPr>
        <w:t>项目内容单一、简单的项目可适当简化。</w:t>
      </w:r>
    </w:p>
    <w:p>
      <w:pPr>
        <w:autoSpaceDE w:val="0"/>
        <w:autoSpaceDN w:val="0"/>
        <w:adjustRightInd w:val="0"/>
        <w:snapToGrid w:val="0"/>
        <w:rPr>
          <w:rFonts w:ascii="黑体" w:eastAsia="黑体"/>
          <w:szCs w:val="32"/>
        </w:rPr>
      </w:pPr>
      <w:r>
        <w:rPr>
          <w:rFonts w:hint="eastAsia" w:ascii="黑体" w:eastAsia="黑体"/>
          <w:szCs w:val="32"/>
        </w:rPr>
        <w:t>附件8</w:t>
      </w:r>
    </w:p>
    <w:p>
      <w:pPr>
        <w:autoSpaceDE w:val="0"/>
        <w:autoSpaceDN w:val="0"/>
        <w:adjustRightInd w:val="0"/>
        <w:snapToGrid w:val="0"/>
        <w:jc w:val="center"/>
        <w:rPr>
          <w:rFonts w:ascii="方正小标宋简体" w:hAnsi="宋体" w:eastAsia="方正小标宋简体" w:cs="宋体"/>
          <w:bCs/>
          <w:kern w:val="0"/>
          <w:sz w:val="24"/>
        </w:rPr>
      </w:pPr>
      <w:r>
        <w:rPr>
          <w:rFonts w:hint="eastAsia" w:ascii="仿宋_GB2312"/>
          <w:sz w:val="28"/>
          <w:szCs w:val="28"/>
        </w:rPr>
        <w:t xml:space="preserve">   </w:t>
      </w:r>
      <w:r>
        <w:rPr>
          <w:rFonts w:hint="eastAsia" w:ascii="方正小标宋简体" w:hAnsi="宋体" w:eastAsia="方正小标宋简体"/>
          <w:sz w:val="44"/>
          <w:szCs w:val="44"/>
        </w:rPr>
        <w:t>内河航道例行养护技术核查表</w:t>
      </w:r>
    </w:p>
    <w:p>
      <w:pPr>
        <w:widowControl/>
        <w:snapToGrid w:val="0"/>
        <w:ind w:firstLine="480"/>
        <w:jc w:val="center"/>
        <w:rPr>
          <w:sz w:val="24"/>
        </w:rPr>
      </w:pPr>
      <w:r>
        <w:rPr>
          <w:rFonts w:hint="eastAsia" w:ascii="仿宋_GB2312" w:hAnsi="宋体" w:cs="宋体"/>
          <w:bCs/>
          <w:kern w:val="0"/>
          <w:sz w:val="24"/>
        </w:rPr>
        <w:t>表一、综合管理核查表</w:t>
      </w:r>
    </w:p>
    <w:tbl>
      <w:tblPr>
        <w:tblStyle w:val="6"/>
        <w:tblW w:w="1436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1058"/>
        <w:gridCol w:w="1620"/>
        <w:gridCol w:w="4371"/>
        <w:gridCol w:w="975"/>
        <w:gridCol w:w="4025"/>
        <w:gridCol w:w="655"/>
        <w:gridCol w:w="776"/>
        <w:gridCol w:w="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397"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序号</w:t>
            </w:r>
          </w:p>
        </w:tc>
        <w:tc>
          <w:tcPr>
            <w:tcW w:w="1058"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项目</w:t>
            </w:r>
          </w:p>
        </w:tc>
        <w:tc>
          <w:tcPr>
            <w:tcW w:w="5991" w:type="dxa"/>
            <w:gridSpan w:val="2"/>
            <w:noWrap w:val="0"/>
            <w:vAlign w:val="center"/>
          </w:tcPr>
          <w:p>
            <w:pPr>
              <w:widowControl/>
              <w:adjustRightInd w:val="0"/>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内容</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标准分（</w:t>
            </w:r>
            <w:r>
              <w:rPr>
                <w:rFonts w:hint="eastAsia" w:ascii="仿宋_GB2312"/>
                <w:kern w:val="0"/>
                <w:sz w:val="18"/>
                <w:szCs w:val="18"/>
              </w:rPr>
              <w:t>100</w:t>
            </w:r>
            <w:r>
              <w:rPr>
                <w:rFonts w:hint="eastAsia" w:ascii="仿宋_GB2312" w:hAnsi="宋体" w:cs="宋体"/>
                <w:kern w:val="0"/>
                <w:sz w:val="18"/>
                <w:szCs w:val="18"/>
              </w:rPr>
              <w:t>分）</w:t>
            </w:r>
          </w:p>
        </w:tc>
        <w:tc>
          <w:tcPr>
            <w:tcW w:w="402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标准</w:t>
            </w:r>
          </w:p>
        </w:tc>
        <w:tc>
          <w:tcPr>
            <w:tcW w:w="65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自评分</w:t>
            </w:r>
          </w:p>
        </w:tc>
        <w:tc>
          <w:tcPr>
            <w:tcW w:w="776" w:type="dxa"/>
            <w:noWrap w:val="0"/>
            <w:vAlign w:val="center"/>
          </w:tcPr>
          <w:p>
            <w:pPr>
              <w:widowControl/>
              <w:adjustRightInd w:val="0"/>
              <w:snapToGrid w:val="0"/>
              <w:jc w:val="center"/>
              <w:rPr>
                <w:rFonts w:ascii="仿宋_GB2312" w:hAnsi="黑体" w:cs="宋体"/>
                <w:b/>
                <w:kern w:val="0"/>
                <w:sz w:val="18"/>
                <w:szCs w:val="18"/>
              </w:rPr>
            </w:pPr>
            <w:r>
              <w:rPr>
                <w:rFonts w:hint="eastAsia" w:ascii="仿宋_GB2312" w:hAnsi="黑体" w:cs="宋体"/>
                <w:kern w:val="0"/>
                <w:sz w:val="18"/>
                <w:szCs w:val="18"/>
              </w:rPr>
              <w:t>实际</w:t>
            </w:r>
          </w:p>
          <w:p>
            <w:pPr>
              <w:widowControl/>
              <w:adjustRightInd w:val="0"/>
              <w:snapToGrid w:val="0"/>
              <w:jc w:val="center"/>
              <w:rPr>
                <w:rFonts w:ascii="仿宋_GB2312" w:hAnsi="宋体" w:cs="宋体"/>
                <w:kern w:val="0"/>
                <w:sz w:val="18"/>
                <w:szCs w:val="18"/>
              </w:rPr>
            </w:pPr>
            <w:r>
              <w:rPr>
                <w:rFonts w:hint="eastAsia" w:ascii="仿宋_GB2312" w:hAnsi="黑体" w:cs="宋体"/>
                <w:kern w:val="0"/>
                <w:sz w:val="18"/>
                <w:szCs w:val="18"/>
              </w:rPr>
              <w:t>得分</w:t>
            </w:r>
          </w:p>
        </w:tc>
        <w:tc>
          <w:tcPr>
            <w:tcW w:w="484"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397" w:type="dxa"/>
            <w:vMerge w:val="restart"/>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一</w:t>
            </w:r>
          </w:p>
        </w:tc>
        <w:tc>
          <w:tcPr>
            <w:tcW w:w="1058" w:type="dxa"/>
            <w:vMerge w:val="restart"/>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执行法律法规与技术规范（15分）</w:t>
            </w: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1.法规规章</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认真宣传贯彻执行《中华人民共和国航道</w:t>
            </w:r>
            <w:r>
              <w:rPr>
                <w:rFonts w:hint="eastAsia" w:ascii="仿宋_GB2312" w:hAnsi="宋体" w:cs="宋体"/>
                <w:bCs/>
                <w:kern w:val="0"/>
                <w:sz w:val="18"/>
                <w:szCs w:val="18"/>
              </w:rPr>
              <w:t>法</w:t>
            </w:r>
            <w:r>
              <w:rPr>
                <w:rFonts w:hint="eastAsia" w:ascii="仿宋_GB2312" w:hAnsi="宋体" w:cs="宋体"/>
                <w:kern w:val="0"/>
                <w:sz w:val="18"/>
                <w:szCs w:val="18"/>
              </w:rPr>
              <w:t>》、《中华人民共和国航标条例》、《浙江省航道管理条例》、《</w:t>
            </w:r>
            <w:r>
              <w:rPr>
                <w:rFonts w:hint="eastAsia" w:ascii="仿宋_GB2312" w:hAnsi="宋体" w:cs="宋体"/>
                <w:bCs/>
                <w:kern w:val="0"/>
                <w:sz w:val="18"/>
                <w:szCs w:val="18"/>
              </w:rPr>
              <w:t>通航建筑物运行</w:t>
            </w:r>
            <w:r>
              <w:rPr>
                <w:rFonts w:hint="eastAsia" w:ascii="仿宋_GB2312" w:hAnsi="宋体" w:cs="宋体"/>
                <w:kern w:val="0"/>
                <w:sz w:val="18"/>
                <w:szCs w:val="18"/>
              </w:rPr>
              <w:t>管理办法》、《内河航标管理办法》等法规规章</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宣传贯彻执行不到位的，扣2分</w:t>
            </w:r>
          </w:p>
        </w:tc>
        <w:tc>
          <w:tcPr>
            <w:tcW w:w="655" w:type="dxa"/>
            <w:noWrap w:val="0"/>
            <w:vAlign w:val="center"/>
          </w:tcPr>
          <w:p>
            <w:pPr>
              <w:widowControl/>
              <w:adjustRightInd w:val="0"/>
              <w:snapToGrid w:val="0"/>
              <w:jc w:val="center"/>
              <w:rPr>
                <w:rFonts w:ascii="仿宋_GB2312"/>
                <w:kern w:val="0"/>
                <w:sz w:val="18"/>
                <w:szCs w:val="18"/>
              </w:rPr>
            </w:pPr>
          </w:p>
        </w:tc>
        <w:tc>
          <w:tcPr>
            <w:tcW w:w="776" w:type="dxa"/>
            <w:noWrap w:val="0"/>
            <w:vAlign w:val="center"/>
          </w:tcPr>
          <w:p>
            <w:pPr>
              <w:widowControl/>
              <w:adjustRightInd w:val="0"/>
              <w:snapToGrid w:val="0"/>
              <w:jc w:val="center"/>
              <w:rPr>
                <w:rFonts w:ascii="仿宋_GB2312"/>
                <w:kern w:val="0"/>
                <w:sz w:val="18"/>
                <w:szCs w:val="18"/>
              </w:rPr>
            </w:pPr>
          </w:p>
        </w:tc>
        <w:tc>
          <w:tcPr>
            <w:tcW w:w="484" w:type="dxa"/>
            <w:noWrap w:val="0"/>
            <w:vAlign w:val="center"/>
          </w:tcPr>
          <w:p>
            <w:pPr>
              <w:widowControl/>
              <w:adjustRightInd w:val="0"/>
              <w:snapToGrid w:val="0"/>
              <w:jc w:val="center"/>
              <w:rPr>
                <w:rFonts w:ascii="仿宋_GB2312"/>
                <w:kern w:val="0"/>
                <w:sz w:val="18"/>
                <w:szCs w:val="18"/>
              </w:rPr>
            </w:pPr>
            <w:r>
              <w:rPr>
                <w:rFonts w:hint="eastAsia" w:ascii="仿宋_GB2312"/>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2.技术规范</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认真贯彻执行《内河通航标准》、《内河助航标志》、《内河助航标志的主要外形尺寸》和《内河航道维护技术规范》等技术标准规范</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贯彻执行不到位的，扣2分，出现严重不符合技术规范要求的，扣5分</w:t>
            </w:r>
          </w:p>
        </w:tc>
        <w:tc>
          <w:tcPr>
            <w:tcW w:w="655" w:type="dxa"/>
            <w:noWrap w:val="0"/>
            <w:vAlign w:val="center"/>
          </w:tcPr>
          <w:p>
            <w:pPr>
              <w:widowControl/>
              <w:adjustRightInd w:val="0"/>
              <w:snapToGrid w:val="0"/>
              <w:jc w:val="center"/>
              <w:rPr>
                <w:rFonts w:ascii="仿宋_GB2312"/>
                <w:kern w:val="0"/>
                <w:sz w:val="18"/>
                <w:szCs w:val="18"/>
              </w:rPr>
            </w:pPr>
          </w:p>
        </w:tc>
        <w:tc>
          <w:tcPr>
            <w:tcW w:w="776" w:type="dxa"/>
            <w:noWrap w:val="0"/>
            <w:vAlign w:val="center"/>
          </w:tcPr>
          <w:p>
            <w:pPr>
              <w:widowControl/>
              <w:adjustRightInd w:val="0"/>
              <w:snapToGrid w:val="0"/>
              <w:jc w:val="center"/>
              <w:rPr>
                <w:rFonts w:ascii="仿宋_GB2312"/>
                <w:kern w:val="0"/>
                <w:sz w:val="18"/>
                <w:szCs w:val="18"/>
              </w:rPr>
            </w:pPr>
          </w:p>
        </w:tc>
        <w:tc>
          <w:tcPr>
            <w:tcW w:w="0" w:type="auto"/>
            <w:noWrap w:val="0"/>
            <w:vAlign w:val="center"/>
          </w:tcPr>
          <w:p>
            <w:pPr>
              <w:jc w:val="left"/>
              <w:rPr>
                <w:rFonts w:ascii="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3.管理规定</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认真贯彻执行《航道养护管理规定》和《浙江省港航养护管理规定》，制定相应的管理制度</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贯彻执行不到位的，扣2分，未结合各地实际情况制定有关管理制度扣3分</w:t>
            </w:r>
          </w:p>
        </w:tc>
        <w:tc>
          <w:tcPr>
            <w:tcW w:w="655" w:type="dxa"/>
            <w:noWrap w:val="0"/>
            <w:vAlign w:val="center"/>
          </w:tcPr>
          <w:p>
            <w:pPr>
              <w:widowControl/>
              <w:adjustRightInd w:val="0"/>
              <w:snapToGrid w:val="0"/>
              <w:jc w:val="center"/>
              <w:rPr>
                <w:rFonts w:ascii="仿宋_GB2312"/>
                <w:kern w:val="0"/>
                <w:sz w:val="18"/>
                <w:szCs w:val="18"/>
              </w:rPr>
            </w:pPr>
          </w:p>
        </w:tc>
        <w:tc>
          <w:tcPr>
            <w:tcW w:w="776" w:type="dxa"/>
            <w:noWrap w:val="0"/>
            <w:vAlign w:val="center"/>
          </w:tcPr>
          <w:p>
            <w:pPr>
              <w:widowControl/>
              <w:adjustRightInd w:val="0"/>
              <w:snapToGrid w:val="0"/>
              <w:jc w:val="center"/>
              <w:rPr>
                <w:rFonts w:ascii="仿宋_GB2312"/>
                <w:kern w:val="0"/>
                <w:sz w:val="18"/>
                <w:szCs w:val="18"/>
              </w:rPr>
            </w:pPr>
          </w:p>
        </w:tc>
        <w:tc>
          <w:tcPr>
            <w:tcW w:w="0" w:type="auto"/>
            <w:noWrap w:val="0"/>
            <w:vAlign w:val="center"/>
          </w:tcPr>
          <w:p>
            <w:pPr>
              <w:widowControl/>
              <w:jc w:val="left"/>
              <w:rPr>
                <w:rFonts w:ascii="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397" w:type="dxa"/>
            <w:vMerge w:val="restart"/>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二</w:t>
            </w:r>
          </w:p>
        </w:tc>
        <w:tc>
          <w:tcPr>
            <w:tcW w:w="1058" w:type="dxa"/>
            <w:vMerge w:val="restart"/>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资金投入与管理（20分）</w:t>
            </w:r>
          </w:p>
        </w:tc>
        <w:tc>
          <w:tcPr>
            <w:tcW w:w="1620" w:type="dxa"/>
            <w:noWrap w:val="0"/>
            <w:vAlign w:val="center"/>
          </w:tcPr>
          <w:p>
            <w:pPr>
              <w:widowControl/>
              <w:adjustRightInd w:val="0"/>
              <w:snapToGrid w:val="0"/>
              <w:jc w:val="left"/>
              <w:rPr>
                <w:rFonts w:ascii="仿宋_GB2312"/>
                <w:kern w:val="0"/>
                <w:sz w:val="18"/>
                <w:szCs w:val="18"/>
              </w:rPr>
            </w:pPr>
            <w:r>
              <w:rPr>
                <w:rFonts w:hint="eastAsia" w:ascii="仿宋_GB2312"/>
                <w:kern w:val="0"/>
                <w:sz w:val="18"/>
                <w:szCs w:val="18"/>
              </w:rPr>
              <w:t>1.资金渠道</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航道养护管理资金满足需要</w:t>
            </w:r>
          </w:p>
        </w:tc>
        <w:tc>
          <w:tcPr>
            <w:tcW w:w="975" w:type="dxa"/>
            <w:noWrap w:val="0"/>
            <w:vAlign w:val="center"/>
          </w:tcPr>
          <w:p>
            <w:pPr>
              <w:widowControl/>
              <w:adjustRightInd w:val="0"/>
              <w:snapToGrid w:val="0"/>
              <w:jc w:val="center"/>
              <w:rPr>
                <w:rFonts w:ascii="仿宋_GB2312"/>
                <w:kern w:val="0"/>
                <w:sz w:val="18"/>
                <w:szCs w:val="18"/>
              </w:rPr>
            </w:pPr>
            <w:r>
              <w:rPr>
                <w:rFonts w:hint="eastAsia" w:ascii="仿宋_GB2312"/>
                <w:kern w:val="0"/>
                <w:sz w:val="18"/>
                <w:szCs w:val="18"/>
              </w:rPr>
              <w:t>7分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资金投入不能保障航道正常维护需要的，扣</w:t>
            </w:r>
            <w:r>
              <w:rPr>
                <w:rFonts w:hint="eastAsia" w:ascii="仿宋_GB2312"/>
                <w:kern w:val="0"/>
                <w:sz w:val="18"/>
                <w:szCs w:val="18"/>
              </w:rPr>
              <w:t>4</w:t>
            </w:r>
            <w:r>
              <w:rPr>
                <w:rFonts w:hint="eastAsia" w:ascii="仿宋_GB2312" w:hAnsi="宋体" w:cs="宋体"/>
                <w:kern w:val="0"/>
                <w:sz w:val="18"/>
                <w:szCs w:val="18"/>
              </w:rPr>
              <w:t>分；不能全部用于航道养护的，扣</w:t>
            </w:r>
            <w:r>
              <w:rPr>
                <w:rFonts w:hint="eastAsia" w:ascii="仿宋_GB2312"/>
                <w:kern w:val="0"/>
                <w:sz w:val="18"/>
                <w:szCs w:val="18"/>
              </w:rPr>
              <w:t>6</w:t>
            </w:r>
            <w:r>
              <w:rPr>
                <w:rFonts w:hint="eastAsia" w:ascii="仿宋_GB2312" w:hAnsi="宋体" w:cs="宋体"/>
                <w:kern w:val="0"/>
                <w:sz w:val="18"/>
                <w:szCs w:val="18"/>
              </w:rPr>
              <w:t>分</w:t>
            </w:r>
          </w:p>
        </w:tc>
        <w:tc>
          <w:tcPr>
            <w:tcW w:w="655" w:type="dxa"/>
            <w:noWrap w:val="0"/>
            <w:vAlign w:val="center"/>
          </w:tcPr>
          <w:p>
            <w:pPr>
              <w:widowControl/>
              <w:adjustRightInd w:val="0"/>
              <w:snapToGrid w:val="0"/>
              <w:jc w:val="center"/>
              <w:rPr>
                <w:rFonts w:ascii="仿宋_GB2312"/>
                <w:kern w:val="0"/>
                <w:sz w:val="18"/>
                <w:szCs w:val="18"/>
              </w:rPr>
            </w:pPr>
          </w:p>
        </w:tc>
        <w:tc>
          <w:tcPr>
            <w:tcW w:w="776" w:type="dxa"/>
            <w:noWrap w:val="0"/>
            <w:vAlign w:val="center"/>
          </w:tcPr>
          <w:p>
            <w:pPr>
              <w:widowControl/>
              <w:adjustRightInd w:val="0"/>
              <w:snapToGrid w:val="0"/>
              <w:jc w:val="center"/>
              <w:rPr>
                <w:rFonts w:ascii="仿宋_GB2312"/>
                <w:kern w:val="0"/>
                <w:sz w:val="18"/>
                <w:szCs w:val="18"/>
              </w:rPr>
            </w:pPr>
          </w:p>
        </w:tc>
        <w:tc>
          <w:tcPr>
            <w:tcW w:w="484" w:type="dxa"/>
            <w:noWrap w:val="0"/>
            <w:vAlign w:val="center"/>
          </w:tcPr>
          <w:p>
            <w:pPr>
              <w:widowControl/>
              <w:adjustRightInd w:val="0"/>
              <w:snapToGrid w:val="0"/>
              <w:jc w:val="center"/>
              <w:rPr>
                <w:rFonts w:ascii="仿宋_GB2312"/>
                <w:kern w:val="0"/>
                <w:sz w:val="18"/>
                <w:szCs w:val="18"/>
              </w:rPr>
            </w:pPr>
            <w:r>
              <w:rPr>
                <w:rFonts w:hint="eastAsia" w:ascii="仿宋_GB2312"/>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2.资金使用管理</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建立健全财务管理制度，实行预算管理；使用资金科学合理，专款专用</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制度不健全扣1分，未执行预算管理扣1分，未专款专用扣2分</w:t>
            </w:r>
          </w:p>
        </w:tc>
        <w:tc>
          <w:tcPr>
            <w:tcW w:w="655" w:type="dxa"/>
            <w:noWrap w:val="0"/>
            <w:vAlign w:val="center"/>
          </w:tcPr>
          <w:p>
            <w:pPr>
              <w:widowControl/>
              <w:adjustRightInd w:val="0"/>
              <w:snapToGrid w:val="0"/>
              <w:jc w:val="center"/>
              <w:rPr>
                <w:rFonts w:ascii="仿宋_GB2312"/>
                <w:kern w:val="0"/>
                <w:sz w:val="18"/>
                <w:szCs w:val="18"/>
              </w:rPr>
            </w:pPr>
          </w:p>
        </w:tc>
        <w:tc>
          <w:tcPr>
            <w:tcW w:w="776" w:type="dxa"/>
            <w:noWrap w:val="0"/>
            <w:vAlign w:val="center"/>
          </w:tcPr>
          <w:p>
            <w:pPr>
              <w:widowControl/>
              <w:adjustRightInd w:val="0"/>
              <w:snapToGrid w:val="0"/>
              <w:jc w:val="center"/>
              <w:rPr>
                <w:rFonts w:ascii="仿宋_GB2312" w:hAnsi="宋体" w:cs="宋体"/>
                <w:kern w:val="0"/>
                <w:sz w:val="18"/>
                <w:szCs w:val="18"/>
              </w:rPr>
            </w:pPr>
          </w:p>
        </w:tc>
        <w:tc>
          <w:tcPr>
            <w:tcW w:w="0" w:type="auto"/>
            <w:noWrap w:val="0"/>
            <w:vAlign w:val="center"/>
          </w:tcPr>
          <w:p>
            <w:pPr>
              <w:jc w:val="left"/>
              <w:rPr>
                <w:rFonts w:ascii="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3.财经纪律</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严格遵守财经纪律，无违法违纪现象发生</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8分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发生违纪事件每起扣1分，严重违法违纪扣8分</w:t>
            </w:r>
          </w:p>
        </w:tc>
        <w:tc>
          <w:tcPr>
            <w:tcW w:w="655" w:type="dxa"/>
            <w:noWrap w:val="0"/>
            <w:vAlign w:val="center"/>
          </w:tcPr>
          <w:p>
            <w:pPr>
              <w:widowControl/>
              <w:adjustRightInd w:val="0"/>
              <w:snapToGrid w:val="0"/>
              <w:jc w:val="center"/>
              <w:rPr>
                <w:rFonts w:ascii="仿宋_GB2312"/>
                <w:kern w:val="0"/>
                <w:sz w:val="18"/>
                <w:szCs w:val="18"/>
              </w:rPr>
            </w:pPr>
          </w:p>
        </w:tc>
        <w:tc>
          <w:tcPr>
            <w:tcW w:w="776" w:type="dxa"/>
            <w:noWrap w:val="0"/>
            <w:vAlign w:val="center"/>
          </w:tcPr>
          <w:p>
            <w:pPr>
              <w:widowControl/>
              <w:adjustRightInd w:val="0"/>
              <w:snapToGrid w:val="0"/>
              <w:jc w:val="center"/>
              <w:rPr>
                <w:rFonts w:ascii="仿宋_GB2312" w:hAnsi="宋体" w:cs="宋体"/>
                <w:kern w:val="0"/>
                <w:sz w:val="18"/>
                <w:szCs w:val="18"/>
              </w:rPr>
            </w:pPr>
          </w:p>
        </w:tc>
        <w:tc>
          <w:tcPr>
            <w:tcW w:w="0" w:type="auto"/>
            <w:noWrap w:val="0"/>
            <w:vAlign w:val="center"/>
          </w:tcPr>
          <w:p>
            <w:pPr>
              <w:widowControl/>
              <w:jc w:val="left"/>
              <w:rPr>
                <w:rFonts w:ascii="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trPr>
        <w:tc>
          <w:tcPr>
            <w:tcW w:w="397" w:type="dxa"/>
            <w:vMerge w:val="restart"/>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三</w:t>
            </w:r>
          </w:p>
        </w:tc>
        <w:tc>
          <w:tcPr>
            <w:tcW w:w="1058" w:type="dxa"/>
            <w:vMerge w:val="restart"/>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安全生产（25分）</w:t>
            </w: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1.安全生产制度</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认真贯彻安全生产政策、法规，建立健全安全生产管理制度</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贯彻执行不到位、制度不健全的，扣3分</w:t>
            </w:r>
          </w:p>
        </w:tc>
        <w:tc>
          <w:tcPr>
            <w:tcW w:w="655" w:type="dxa"/>
            <w:noWrap w:val="0"/>
            <w:vAlign w:val="center"/>
          </w:tcPr>
          <w:p>
            <w:pPr>
              <w:widowControl/>
              <w:adjustRightInd w:val="0"/>
              <w:snapToGrid w:val="0"/>
              <w:jc w:val="center"/>
              <w:rPr>
                <w:rFonts w:ascii="仿宋_GB2312"/>
                <w:kern w:val="0"/>
                <w:sz w:val="18"/>
                <w:szCs w:val="18"/>
              </w:rPr>
            </w:pPr>
          </w:p>
        </w:tc>
        <w:tc>
          <w:tcPr>
            <w:tcW w:w="776" w:type="dxa"/>
            <w:noWrap w:val="0"/>
            <w:vAlign w:val="center"/>
          </w:tcPr>
          <w:p>
            <w:pPr>
              <w:widowControl/>
              <w:adjustRightInd w:val="0"/>
              <w:snapToGrid w:val="0"/>
              <w:jc w:val="center"/>
              <w:rPr>
                <w:rFonts w:ascii="仿宋_GB2312" w:hAnsi="宋体" w:cs="宋体"/>
                <w:kern w:val="0"/>
                <w:sz w:val="18"/>
                <w:szCs w:val="18"/>
              </w:rPr>
            </w:pPr>
          </w:p>
        </w:tc>
        <w:tc>
          <w:tcPr>
            <w:tcW w:w="484"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2.制度落实情况</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认真落实“安全第一、预防为主”的安全方针，实行安全生产责任制，责任明确，分工到位，落实到人和工作环节</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9分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未实行安全生产责任制扣3分；未落实到位，每项扣3分</w:t>
            </w:r>
          </w:p>
        </w:tc>
        <w:tc>
          <w:tcPr>
            <w:tcW w:w="655" w:type="dxa"/>
            <w:noWrap w:val="0"/>
            <w:vAlign w:val="center"/>
          </w:tcPr>
          <w:p>
            <w:pPr>
              <w:widowControl/>
              <w:adjustRightInd w:val="0"/>
              <w:snapToGrid w:val="0"/>
              <w:jc w:val="center"/>
              <w:rPr>
                <w:rFonts w:ascii="仿宋_GB2312"/>
                <w:kern w:val="0"/>
                <w:sz w:val="18"/>
                <w:szCs w:val="18"/>
              </w:rPr>
            </w:pPr>
          </w:p>
        </w:tc>
        <w:tc>
          <w:tcPr>
            <w:tcW w:w="776" w:type="dxa"/>
            <w:noWrap w:val="0"/>
            <w:vAlign w:val="center"/>
          </w:tcPr>
          <w:p>
            <w:pPr>
              <w:widowControl/>
              <w:adjustRightInd w:val="0"/>
              <w:snapToGrid w:val="0"/>
              <w:jc w:val="center"/>
              <w:rPr>
                <w:rFonts w:ascii="仿宋_GB2312" w:hAnsi="宋体" w:cs="宋体"/>
                <w:kern w:val="0"/>
                <w:sz w:val="18"/>
                <w:szCs w:val="18"/>
              </w:rPr>
            </w:pPr>
          </w:p>
        </w:tc>
        <w:tc>
          <w:tcPr>
            <w:tcW w:w="0" w:type="auto"/>
            <w:noWrap w:val="0"/>
            <w:vAlign w:val="center"/>
          </w:tcPr>
          <w:p>
            <w:pPr>
              <w:jc w:val="left"/>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3.责任事故</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全年无等级以上安全责任事故</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10分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重大责任事故扣10分，一般责任事故每项扣3分</w:t>
            </w:r>
          </w:p>
        </w:tc>
        <w:tc>
          <w:tcPr>
            <w:tcW w:w="655" w:type="dxa"/>
            <w:noWrap w:val="0"/>
            <w:vAlign w:val="center"/>
          </w:tcPr>
          <w:p>
            <w:pPr>
              <w:widowControl/>
              <w:adjustRightInd w:val="0"/>
              <w:snapToGrid w:val="0"/>
              <w:jc w:val="center"/>
              <w:rPr>
                <w:rFonts w:ascii="仿宋_GB2312"/>
                <w:kern w:val="0"/>
                <w:sz w:val="18"/>
                <w:szCs w:val="18"/>
              </w:rPr>
            </w:pPr>
          </w:p>
        </w:tc>
        <w:tc>
          <w:tcPr>
            <w:tcW w:w="776" w:type="dxa"/>
            <w:noWrap w:val="0"/>
            <w:vAlign w:val="center"/>
          </w:tcPr>
          <w:p>
            <w:pPr>
              <w:widowControl/>
              <w:adjustRightInd w:val="0"/>
              <w:snapToGrid w:val="0"/>
              <w:jc w:val="center"/>
              <w:rPr>
                <w:rFonts w:ascii="仿宋_GB2312" w:hAnsi="宋体" w:cs="宋体"/>
                <w:kern w:val="0"/>
                <w:sz w:val="18"/>
                <w:szCs w:val="18"/>
              </w:rPr>
            </w:pPr>
          </w:p>
        </w:tc>
        <w:tc>
          <w:tcPr>
            <w:tcW w:w="0" w:type="auto"/>
            <w:noWrap w:val="0"/>
            <w:vAlign w:val="center"/>
          </w:tcPr>
          <w:p>
            <w:pPr>
              <w:widowControl/>
              <w:jc w:val="left"/>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trPr>
        <w:tc>
          <w:tcPr>
            <w:tcW w:w="397" w:type="dxa"/>
            <w:vMerge w:val="restart"/>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四</w:t>
            </w:r>
          </w:p>
        </w:tc>
        <w:tc>
          <w:tcPr>
            <w:tcW w:w="1058" w:type="dxa"/>
            <w:vMerge w:val="restart"/>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廉政建设与养护质量（</w:t>
            </w:r>
            <w:r>
              <w:rPr>
                <w:rFonts w:hint="eastAsia" w:ascii="仿宋_GB2312"/>
                <w:kern w:val="0"/>
                <w:sz w:val="18"/>
                <w:szCs w:val="18"/>
              </w:rPr>
              <w:t>15</w:t>
            </w:r>
            <w:r>
              <w:rPr>
                <w:rFonts w:hint="eastAsia" w:ascii="仿宋_GB2312" w:hAnsi="宋体" w:cs="宋体"/>
                <w:kern w:val="0"/>
                <w:sz w:val="18"/>
                <w:szCs w:val="18"/>
              </w:rPr>
              <w:t>分）</w:t>
            </w: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1.廉政建设</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建立健全反腐败领导体制和工作机制，认真落实党风廉政建设责任制</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未建立制度、实行责任制，每项扣1分</w:t>
            </w:r>
          </w:p>
        </w:tc>
        <w:tc>
          <w:tcPr>
            <w:tcW w:w="655" w:type="dxa"/>
            <w:noWrap w:val="0"/>
            <w:vAlign w:val="center"/>
          </w:tcPr>
          <w:p>
            <w:pPr>
              <w:widowControl/>
              <w:adjustRightInd w:val="0"/>
              <w:snapToGrid w:val="0"/>
              <w:jc w:val="center"/>
              <w:rPr>
                <w:rFonts w:ascii="仿宋_GB2312"/>
                <w:kern w:val="0"/>
                <w:sz w:val="18"/>
                <w:szCs w:val="18"/>
              </w:rPr>
            </w:pPr>
          </w:p>
        </w:tc>
        <w:tc>
          <w:tcPr>
            <w:tcW w:w="776" w:type="dxa"/>
            <w:noWrap w:val="0"/>
            <w:vAlign w:val="center"/>
          </w:tcPr>
          <w:p>
            <w:pPr>
              <w:widowControl/>
              <w:adjustRightInd w:val="0"/>
              <w:snapToGrid w:val="0"/>
              <w:jc w:val="center"/>
              <w:rPr>
                <w:rFonts w:ascii="仿宋_GB2312" w:hAnsi="宋体" w:cs="宋体"/>
                <w:kern w:val="0"/>
                <w:sz w:val="18"/>
                <w:szCs w:val="18"/>
              </w:rPr>
            </w:pPr>
          </w:p>
        </w:tc>
        <w:tc>
          <w:tcPr>
            <w:tcW w:w="484"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　</w:t>
            </w:r>
          </w:p>
          <w:p>
            <w:pPr>
              <w:adjustRightInd w:val="0"/>
              <w:snapToGrid w:val="0"/>
              <w:jc w:val="center"/>
              <w:rPr>
                <w:rFonts w:ascii="仿宋_GB2312" w:hAnsi="宋体" w:cs="宋体"/>
                <w:kern w:val="0"/>
                <w:sz w:val="18"/>
                <w:szCs w:val="18"/>
              </w:rPr>
            </w:pPr>
            <w:r>
              <w:rPr>
                <w:rFonts w:hint="eastAsia" w:ascii="仿宋_GB2312"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2.养护管理</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按照国家和省有关规定，执行招投标制、工程监理制和合同管理制</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未按规定执行有关制度，每项扣1分</w:t>
            </w:r>
          </w:p>
        </w:tc>
        <w:tc>
          <w:tcPr>
            <w:tcW w:w="655" w:type="dxa"/>
            <w:noWrap w:val="0"/>
            <w:vAlign w:val="center"/>
          </w:tcPr>
          <w:p>
            <w:pPr>
              <w:widowControl/>
              <w:adjustRightInd w:val="0"/>
              <w:snapToGrid w:val="0"/>
              <w:jc w:val="center"/>
              <w:rPr>
                <w:rFonts w:ascii="仿宋_GB2312" w:hAnsi="宋体" w:cs="宋体"/>
                <w:kern w:val="0"/>
                <w:sz w:val="18"/>
                <w:szCs w:val="18"/>
              </w:rPr>
            </w:pPr>
          </w:p>
        </w:tc>
        <w:tc>
          <w:tcPr>
            <w:tcW w:w="776" w:type="dxa"/>
            <w:noWrap w:val="0"/>
            <w:vAlign w:val="center"/>
          </w:tcPr>
          <w:p>
            <w:pPr>
              <w:widowControl/>
              <w:adjustRightInd w:val="0"/>
              <w:snapToGrid w:val="0"/>
              <w:jc w:val="center"/>
              <w:rPr>
                <w:rFonts w:ascii="仿宋_GB2312" w:hAnsi="宋体" w:cs="宋体"/>
                <w:kern w:val="0"/>
                <w:sz w:val="18"/>
                <w:szCs w:val="18"/>
              </w:rPr>
            </w:pPr>
          </w:p>
        </w:tc>
        <w:tc>
          <w:tcPr>
            <w:tcW w:w="484"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 xml:space="preserve"> </w:t>
            </w:r>
          </w:p>
          <w:p>
            <w:pPr>
              <w:adjustRightInd w:val="0"/>
              <w:snapToGrid w:val="0"/>
              <w:jc w:val="center"/>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3.养护质量</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养护质量符合设计和有关规范要求</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养护质量不合格或发生质量安全事故的，扣6分</w:t>
            </w:r>
          </w:p>
        </w:tc>
        <w:tc>
          <w:tcPr>
            <w:tcW w:w="655" w:type="dxa"/>
            <w:noWrap w:val="0"/>
            <w:vAlign w:val="center"/>
          </w:tcPr>
          <w:p>
            <w:pPr>
              <w:widowControl/>
              <w:adjustRightInd w:val="0"/>
              <w:snapToGrid w:val="0"/>
              <w:jc w:val="center"/>
              <w:rPr>
                <w:rFonts w:ascii="仿宋_GB2312" w:hAnsi="宋体" w:cs="宋体"/>
                <w:kern w:val="0"/>
                <w:sz w:val="18"/>
                <w:szCs w:val="18"/>
              </w:rPr>
            </w:pPr>
          </w:p>
        </w:tc>
        <w:tc>
          <w:tcPr>
            <w:tcW w:w="776" w:type="dxa"/>
            <w:noWrap w:val="0"/>
            <w:vAlign w:val="center"/>
          </w:tcPr>
          <w:p>
            <w:pPr>
              <w:widowControl/>
              <w:adjustRightInd w:val="0"/>
              <w:snapToGrid w:val="0"/>
              <w:jc w:val="center"/>
              <w:rPr>
                <w:rFonts w:ascii="仿宋_GB2312" w:hAnsi="宋体" w:cs="宋体"/>
                <w:kern w:val="0"/>
                <w:sz w:val="18"/>
                <w:szCs w:val="18"/>
              </w:rPr>
            </w:pPr>
          </w:p>
        </w:tc>
        <w:tc>
          <w:tcPr>
            <w:tcW w:w="484" w:type="dxa"/>
            <w:noWrap w:val="0"/>
            <w:vAlign w:val="center"/>
          </w:tcPr>
          <w:p>
            <w:pPr>
              <w:adjustRightInd w:val="0"/>
              <w:snapToGrid w:val="0"/>
              <w:jc w:val="center"/>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trPr>
        <w:tc>
          <w:tcPr>
            <w:tcW w:w="397" w:type="dxa"/>
            <w:vMerge w:val="restart"/>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五</w:t>
            </w:r>
          </w:p>
        </w:tc>
        <w:tc>
          <w:tcPr>
            <w:tcW w:w="1058" w:type="dxa"/>
            <w:vMerge w:val="restart"/>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规范化管理（25分）</w:t>
            </w:r>
          </w:p>
        </w:tc>
        <w:tc>
          <w:tcPr>
            <w:tcW w:w="1620" w:type="dxa"/>
            <w:noWrap w:val="0"/>
            <w:vAlign w:val="center"/>
          </w:tcPr>
          <w:p>
            <w:pPr>
              <w:widowControl/>
              <w:adjustRightInd w:val="0"/>
              <w:snapToGrid w:val="0"/>
              <w:jc w:val="left"/>
              <w:rPr>
                <w:rFonts w:ascii="仿宋_GB2312" w:hAnsi="宋体" w:cs="宋体"/>
                <w:strike/>
                <w:kern w:val="0"/>
                <w:sz w:val="18"/>
                <w:szCs w:val="18"/>
              </w:rPr>
            </w:pPr>
            <w:r>
              <w:rPr>
                <w:rFonts w:hint="eastAsia" w:ascii="仿宋_GB2312" w:hAnsi="宋体" w:cs="宋体"/>
                <w:kern w:val="0"/>
                <w:sz w:val="18"/>
                <w:szCs w:val="18"/>
              </w:rPr>
              <w:t>1.养护巡查</w:t>
            </w:r>
          </w:p>
        </w:tc>
        <w:tc>
          <w:tcPr>
            <w:tcW w:w="4371" w:type="dxa"/>
            <w:noWrap w:val="0"/>
            <w:vAlign w:val="center"/>
          </w:tcPr>
          <w:p>
            <w:pPr>
              <w:widowControl/>
              <w:adjustRightInd w:val="0"/>
              <w:snapToGrid w:val="0"/>
              <w:jc w:val="left"/>
              <w:rPr>
                <w:rFonts w:ascii="仿宋_GB2312" w:hAnsi="宋体" w:cs="宋体"/>
                <w:strike/>
                <w:kern w:val="0"/>
                <w:sz w:val="18"/>
                <w:szCs w:val="18"/>
              </w:rPr>
            </w:pPr>
            <w:r>
              <w:rPr>
                <w:rFonts w:hint="eastAsia" w:ascii="仿宋_GB2312" w:hAnsi="宋体" w:cs="宋体"/>
                <w:kern w:val="0"/>
                <w:sz w:val="18"/>
                <w:szCs w:val="18"/>
              </w:rPr>
              <w:t>建立养护日常巡查制度，骨干航道每月巡查不少于2次，并做好巡查记录</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15分</w:t>
            </w:r>
          </w:p>
        </w:tc>
        <w:tc>
          <w:tcPr>
            <w:tcW w:w="4025" w:type="dxa"/>
            <w:noWrap w:val="0"/>
            <w:vAlign w:val="center"/>
          </w:tcPr>
          <w:p>
            <w:pPr>
              <w:widowControl/>
              <w:adjustRightInd w:val="0"/>
              <w:snapToGrid w:val="0"/>
              <w:jc w:val="left"/>
              <w:rPr>
                <w:rFonts w:ascii="仿宋_GB2312" w:hAnsi="宋体" w:cs="宋体"/>
                <w:strike/>
                <w:kern w:val="0"/>
                <w:sz w:val="18"/>
                <w:szCs w:val="18"/>
              </w:rPr>
            </w:pPr>
            <w:r>
              <w:rPr>
                <w:rFonts w:hint="eastAsia" w:ascii="仿宋_GB2312" w:hAnsi="宋体" w:cs="宋体"/>
                <w:kern w:val="0"/>
                <w:sz w:val="18"/>
                <w:szCs w:val="18"/>
              </w:rPr>
              <w:t>日常巡查每缺一次扣2分，记录不全每次扣1分</w:t>
            </w:r>
          </w:p>
        </w:tc>
        <w:tc>
          <w:tcPr>
            <w:tcW w:w="655" w:type="dxa"/>
            <w:noWrap w:val="0"/>
            <w:vAlign w:val="center"/>
          </w:tcPr>
          <w:p>
            <w:pPr>
              <w:widowControl/>
              <w:adjustRightInd w:val="0"/>
              <w:snapToGrid w:val="0"/>
              <w:jc w:val="center"/>
              <w:rPr>
                <w:rFonts w:ascii="仿宋_GB2312" w:hAnsi="宋体" w:cs="宋体"/>
                <w:kern w:val="0"/>
                <w:sz w:val="18"/>
                <w:szCs w:val="18"/>
              </w:rPr>
            </w:pPr>
          </w:p>
        </w:tc>
        <w:tc>
          <w:tcPr>
            <w:tcW w:w="776" w:type="dxa"/>
            <w:noWrap w:val="0"/>
            <w:vAlign w:val="center"/>
          </w:tcPr>
          <w:p>
            <w:pPr>
              <w:widowControl/>
              <w:adjustRightInd w:val="0"/>
              <w:snapToGrid w:val="0"/>
              <w:jc w:val="center"/>
              <w:rPr>
                <w:rFonts w:ascii="仿宋_GB2312" w:hAnsi="宋体" w:cs="宋体"/>
                <w:kern w:val="0"/>
                <w:sz w:val="18"/>
                <w:szCs w:val="18"/>
              </w:rPr>
            </w:pPr>
          </w:p>
        </w:tc>
        <w:tc>
          <w:tcPr>
            <w:tcW w:w="484"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620"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2.规范化管理</w:t>
            </w:r>
          </w:p>
        </w:tc>
        <w:tc>
          <w:tcPr>
            <w:tcW w:w="4371"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原始工作</w:t>
            </w:r>
            <w:r>
              <w:rPr>
                <w:rFonts w:hint="eastAsia" w:ascii="仿宋_GB2312" w:hAnsi="宋体" w:cs="宋体"/>
                <w:bCs/>
                <w:kern w:val="0"/>
                <w:sz w:val="18"/>
                <w:szCs w:val="18"/>
              </w:rPr>
              <w:t>台账</w:t>
            </w:r>
            <w:r>
              <w:rPr>
                <w:rFonts w:hint="eastAsia" w:ascii="仿宋_GB2312" w:hAnsi="宋体" w:cs="宋体"/>
                <w:kern w:val="0"/>
                <w:sz w:val="18"/>
                <w:szCs w:val="18"/>
              </w:rPr>
              <w:t>记录（含工程量统计、养护施工前后影像、检查验收资料等）齐全、规范、真实</w:t>
            </w:r>
          </w:p>
        </w:tc>
        <w:tc>
          <w:tcPr>
            <w:tcW w:w="975"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不齐全扣2分，不规范扣1分，不真实扣5分</w:t>
            </w:r>
          </w:p>
        </w:tc>
        <w:tc>
          <w:tcPr>
            <w:tcW w:w="655" w:type="dxa"/>
            <w:noWrap w:val="0"/>
            <w:vAlign w:val="center"/>
          </w:tcPr>
          <w:p>
            <w:pPr>
              <w:widowControl/>
              <w:adjustRightInd w:val="0"/>
              <w:snapToGrid w:val="0"/>
              <w:jc w:val="center"/>
              <w:rPr>
                <w:rFonts w:ascii="仿宋_GB2312" w:hAnsi="宋体" w:cs="宋体"/>
                <w:kern w:val="0"/>
                <w:sz w:val="18"/>
                <w:szCs w:val="18"/>
              </w:rPr>
            </w:pPr>
          </w:p>
        </w:tc>
        <w:tc>
          <w:tcPr>
            <w:tcW w:w="776" w:type="dxa"/>
            <w:noWrap w:val="0"/>
            <w:vAlign w:val="center"/>
          </w:tcPr>
          <w:p>
            <w:pPr>
              <w:widowControl/>
              <w:adjustRightInd w:val="0"/>
              <w:snapToGrid w:val="0"/>
              <w:jc w:val="center"/>
              <w:rPr>
                <w:rFonts w:ascii="仿宋_GB2312" w:hAnsi="宋体" w:cs="宋体"/>
                <w:kern w:val="0"/>
                <w:sz w:val="18"/>
                <w:szCs w:val="18"/>
              </w:rPr>
            </w:pPr>
          </w:p>
        </w:tc>
        <w:tc>
          <w:tcPr>
            <w:tcW w:w="484"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620" w:type="dxa"/>
            <w:noWrap w:val="0"/>
            <w:vAlign w:val="center"/>
          </w:tcPr>
          <w:p>
            <w:pPr>
              <w:widowControl/>
              <w:adjustRightInd w:val="0"/>
              <w:snapToGrid w:val="0"/>
              <w:jc w:val="left"/>
              <w:rPr>
                <w:rFonts w:ascii="仿宋_GB2312"/>
                <w:kern w:val="0"/>
                <w:sz w:val="18"/>
                <w:szCs w:val="18"/>
              </w:rPr>
            </w:pPr>
            <w:r>
              <w:rPr>
                <w:rFonts w:hint="eastAsia" w:ascii="仿宋_GB2312"/>
                <w:kern w:val="0"/>
                <w:sz w:val="18"/>
                <w:szCs w:val="18"/>
              </w:rPr>
              <w:t>3.资料档案</w:t>
            </w:r>
          </w:p>
        </w:tc>
        <w:tc>
          <w:tcPr>
            <w:tcW w:w="4371" w:type="dxa"/>
            <w:noWrap w:val="0"/>
            <w:vAlign w:val="center"/>
          </w:tcPr>
          <w:p>
            <w:pPr>
              <w:widowControl/>
              <w:adjustRightInd w:val="0"/>
              <w:snapToGrid w:val="0"/>
              <w:jc w:val="left"/>
              <w:rPr>
                <w:rFonts w:ascii="仿宋_GB2312"/>
                <w:kern w:val="0"/>
                <w:sz w:val="18"/>
                <w:szCs w:val="18"/>
              </w:rPr>
            </w:pPr>
            <w:r>
              <w:rPr>
                <w:rFonts w:hint="eastAsia" w:ascii="仿宋_GB2312"/>
                <w:kern w:val="0"/>
                <w:sz w:val="18"/>
                <w:szCs w:val="18"/>
              </w:rPr>
              <w:t>各项统计资料齐全、准确、真实，上报及时；档案管理规范</w:t>
            </w:r>
          </w:p>
        </w:tc>
        <w:tc>
          <w:tcPr>
            <w:tcW w:w="975" w:type="dxa"/>
            <w:noWrap w:val="0"/>
            <w:vAlign w:val="center"/>
          </w:tcPr>
          <w:p>
            <w:pPr>
              <w:widowControl/>
              <w:adjustRightInd w:val="0"/>
              <w:snapToGrid w:val="0"/>
              <w:jc w:val="center"/>
              <w:rPr>
                <w:rFonts w:ascii="仿宋_GB2312"/>
                <w:kern w:val="0"/>
                <w:sz w:val="18"/>
                <w:szCs w:val="18"/>
              </w:rPr>
            </w:pPr>
            <w:r>
              <w:rPr>
                <w:rFonts w:hint="eastAsia" w:ascii="仿宋_GB2312"/>
                <w:kern w:val="0"/>
                <w:sz w:val="18"/>
                <w:szCs w:val="18"/>
              </w:rPr>
              <w:t>5分</w:t>
            </w:r>
          </w:p>
        </w:tc>
        <w:tc>
          <w:tcPr>
            <w:tcW w:w="4025" w:type="dxa"/>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资料不齐全、上报不及时、档案管理不规范，扣</w:t>
            </w:r>
            <w:r>
              <w:rPr>
                <w:rFonts w:hint="eastAsia" w:ascii="仿宋_GB2312"/>
                <w:kern w:val="0"/>
                <w:sz w:val="18"/>
                <w:szCs w:val="18"/>
              </w:rPr>
              <w:t>1</w:t>
            </w:r>
            <w:r>
              <w:rPr>
                <w:rFonts w:hint="eastAsia" w:ascii="仿宋_GB2312" w:hAnsi="宋体" w:cs="宋体"/>
                <w:kern w:val="0"/>
                <w:sz w:val="18"/>
                <w:szCs w:val="18"/>
              </w:rPr>
              <w:t>－</w:t>
            </w:r>
            <w:r>
              <w:rPr>
                <w:rFonts w:hint="eastAsia" w:ascii="仿宋_GB2312"/>
                <w:kern w:val="0"/>
                <w:sz w:val="18"/>
                <w:szCs w:val="18"/>
              </w:rPr>
              <w:t>2</w:t>
            </w:r>
            <w:r>
              <w:rPr>
                <w:rFonts w:hint="eastAsia" w:ascii="仿宋_GB2312" w:hAnsi="宋体" w:cs="宋体"/>
                <w:kern w:val="0"/>
                <w:sz w:val="18"/>
                <w:szCs w:val="18"/>
              </w:rPr>
              <w:t>分</w:t>
            </w:r>
          </w:p>
        </w:tc>
        <w:tc>
          <w:tcPr>
            <w:tcW w:w="655" w:type="dxa"/>
            <w:noWrap w:val="0"/>
            <w:vAlign w:val="center"/>
          </w:tcPr>
          <w:p>
            <w:pPr>
              <w:widowControl/>
              <w:adjustRightInd w:val="0"/>
              <w:snapToGrid w:val="0"/>
              <w:jc w:val="center"/>
              <w:rPr>
                <w:rFonts w:ascii="仿宋_GB2312"/>
                <w:kern w:val="0"/>
                <w:sz w:val="18"/>
                <w:szCs w:val="18"/>
              </w:rPr>
            </w:pPr>
          </w:p>
        </w:tc>
        <w:tc>
          <w:tcPr>
            <w:tcW w:w="776" w:type="dxa"/>
            <w:noWrap w:val="0"/>
            <w:vAlign w:val="center"/>
          </w:tcPr>
          <w:p>
            <w:pPr>
              <w:widowControl/>
              <w:adjustRightInd w:val="0"/>
              <w:snapToGrid w:val="0"/>
              <w:jc w:val="center"/>
              <w:rPr>
                <w:rFonts w:ascii="仿宋_GB2312"/>
                <w:kern w:val="0"/>
                <w:sz w:val="18"/>
                <w:szCs w:val="18"/>
              </w:rPr>
            </w:pPr>
          </w:p>
        </w:tc>
        <w:tc>
          <w:tcPr>
            <w:tcW w:w="484" w:type="dxa"/>
            <w:noWrap w:val="0"/>
            <w:vAlign w:val="center"/>
          </w:tcPr>
          <w:p>
            <w:pPr>
              <w:widowControl/>
              <w:adjustRightInd w:val="0"/>
              <w:snapToGrid w:val="0"/>
              <w:jc w:val="left"/>
              <w:rPr>
                <w:rFonts w:ascii="仿宋_GB2312"/>
                <w:kern w:val="0"/>
                <w:sz w:val="18"/>
                <w:szCs w:val="18"/>
              </w:rPr>
            </w:pPr>
            <w:r>
              <w:rPr>
                <w:rFonts w:hint="eastAsia" w:ascii="仿宋_GB2312"/>
                <w:kern w:val="0"/>
                <w:sz w:val="18"/>
                <w:szCs w:val="18"/>
              </w:rPr>
              <w:t>　</w:t>
            </w:r>
          </w:p>
        </w:tc>
      </w:tr>
    </w:tbl>
    <w:p>
      <w:pPr>
        <w:widowControl/>
        <w:jc w:val="left"/>
        <w:rPr>
          <w:rFonts w:ascii="宋体" w:hAnsi="宋体"/>
          <w:sz w:val="30"/>
          <w:szCs w:val="30"/>
        </w:rPr>
        <w:sectPr>
          <w:pgSz w:w="16838" w:h="11906" w:orient="landscape"/>
          <w:pgMar w:top="1440" w:right="1440" w:bottom="1440" w:left="1440" w:header="851" w:footer="992" w:gutter="0"/>
          <w:pgNumType w:fmt="numberInDash"/>
          <w:cols w:space="720" w:num="1"/>
          <w:docGrid w:type="lines" w:linePitch="312" w:charSpace="0"/>
        </w:sectPr>
      </w:pPr>
    </w:p>
    <w:p>
      <w:pPr>
        <w:widowControl/>
        <w:jc w:val="left"/>
        <w:rPr>
          <w:rFonts w:ascii="宋体" w:hAnsi="宋体"/>
          <w:sz w:val="30"/>
          <w:szCs w:val="30"/>
        </w:rPr>
        <w:sectPr>
          <w:type w:val="continuous"/>
          <w:pgSz w:w="16838" w:h="11906" w:orient="landscape"/>
          <w:pgMar w:top="1440" w:right="1440" w:bottom="1440" w:left="1440" w:header="851" w:footer="992" w:gutter="0"/>
          <w:pgNumType w:fmt="numberInDash"/>
          <w:cols w:space="720" w:num="1"/>
          <w:docGrid w:type="lines" w:linePitch="312" w:charSpace="0"/>
        </w:sectPr>
      </w:pPr>
    </w:p>
    <w:p>
      <w:pPr>
        <w:widowControl/>
        <w:snapToGrid w:val="0"/>
        <w:jc w:val="center"/>
        <w:rPr>
          <w:rFonts w:ascii="仿宋_GB2312" w:hAnsi="宋体" w:cs="宋体"/>
          <w:bCs/>
          <w:kern w:val="0"/>
          <w:sz w:val="24"/>
        </w:rPr>
      </w:pPr>
      <w:r>
        <w:rPr>
          <w:rFonts w:hint="eastAsia" w:ascii="仿宋_GB2312" w:hAnsi="宋体" w:cs="宋体"/>
          <w:bCs/>
          <w:kern w:val="0"/>
          <w:sz w:val="24"/>
        </w:rPr>
        <w:t>表二、航道维护与措施核查表</w:t>
      </w:r>
    </w:p>
    <w:tbl>
      <w:tblPr>
        <w:tblStyle w:val="6"/>
        <w:tblW w:w="1445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1238"/>
        <w:gridCol w:w="1260"/>
        <w:gridCol w:w="4860"/>
        <w:gridCol w:w="1080"/>
        <w:gridCol w:w="3600"/>
        <w:gridCol w:w="720"/>
        <w:gridCol w:w="720"/>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397"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序号</w:t>
            </w:r>
          </w:p>
        </w:tc>
        <w:tc>
          <w:tcPr>
            <w:tcW w:w="1238" w:type="dxa"/>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项目</w:t>
            </w:r>
          </w:p>
        </w:tc>
        <w:tc>
          <w:tcPr>
            <w:tcW w:w="6120" w:type="dxa"/>
            <w:gridSpan w:val="2"/>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内容</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标准分（100分）</w:t>
            </w:r>
          </w:p>
        </w:tc>
        <w:tc>
          <w:tcPr>
            <w:tcW w:w="3600" w:type="dxa"/>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标准</w:t>
            </w:r>
          </w:p>
        </w:tc>
        <w:tc>
          <w:tcPr>
            <w:tcW w:w="72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自评分</w:t>
            </w:r>
          </w:p>
        </w:tc>
        <w:tc>
          <w:tcPr>
            <w:tcW w:w="720"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黑体" w:cs="宋体"/>
                <w:kern w:val="0"/>
                <w:sz w:val="18"/>
                <w:szCs w:val="18"/>
              </w:rPr>
              <w:t>实际得分</w:t>
            </w:r>
          </w:p>
        </w:tc>
        <w:tc>
          <w:tcPr>
            <w:tcW w:w="576"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trPr>
        <w:tc>
          <w:tcPr>
            <w:tcW w:w="397"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一</w:t>
            </w:r>
          </w:p>
        </w:tc>
        <w:tc>
          <w:tcPr>
            <w:tcW w:w="1238"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贯彻落实法规，建立健全规章制度(15分)</w:t>
            </w: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1.法规</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认真贯彻落实</w:t>
            </w:r>
            <w:r>
              <w:rPr>
                <w:rFonts w:hint="eastAsia" w:ascii="仿宋_GB2312" w:hAnsi="宋体" w:cs="宋体"/>
                <w:bCs/>
                <w:kern w:val="0"/>
                <w:sz w:val="18"/>
                <w:szCs w:val="18"/>
              </w:rPr>
              <w:t>《中华人民共和国航道法》</w:t>
            </w:r>
            <w:r>
              <w:rPr>
                <w:rFonts w:hint="eastAsia" w:ascii="仿宋_GB2312" w:hAnsi="宋体" w:cs="宋体"/>
                <w:kern w:val="0"/>
                <w:sz w:val="18"/>
                <w:szCs w:val="18"/>
              </w:rPr>
              <w:t>、《浙江省航道管理条例》、《内河航道维护技术规范》等法规、标准</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贯彻落实法规有漏项的，每项扣1分</w:t>
            </w:r>
          </w:p>
        </w:tc>
        <w:tc>
          <w:tcPr>
            <w:tcW w:w="720" w:type="dxa"/>
            <w:noWrap w:val="0"/>
            <w:vAlign w:val="center"/>
          </w:tcPr>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576" w:type="dxa"/>
            <w:noWrap w:val="0"/>
            <w:vAlign w:val="center"/>
          </w:tcPr>
          <w:p>
            <w:pPr>
              <w:widowControl/>
              <w:snapToGrid w:val="0"/>
              <w:jc w:val="center"/>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2.制度</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建立健全航道养护管理各项规章制度</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管理制度不健全的，每项扣1分</w:t>
            </w:r>
          </w:p>
        </w:tc>
        <w:tc>
          <w:tcPr>
            <w:tcW w:w="720" w:type="dxa"/>
            <w:noWrap w:val="0"/>
            <w:vAlign w:val="center"/>
          </w:tcPr>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576" w:type="dxa"/>
            <w:noWrap w:val="0"/>
            <w:vAlign w:val="center"/>
          </w:tcPr>
          <w:p>
            <w:pPr>
              <w:widowControl/>
              <w:snapToGrid w:val="0"/>
              <w:jc w:val="center"/>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3.计划与实施</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制定并实施年度航道养护计划</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7分</w:t>
            </w:r>
          </w:p>
        </w:tc>
        <w:tc>
          <w:tcPr>
            <w:tcW w:w="360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未制定年度养护计划扣3分，未按计划实施扣4分</w:t>
            </w:r>
          </w:p>
        </w:tc>
        <w:tc>
          <w:tcPr>
            <w:tcW w:w="720" w:type="dxa"/>
            <w:noWrap w:val="0"/>
            <w:vAlign w:val="center"/>
          </w:tcPr>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576" w:type="dxa"/>
            <w:noWrap w:val="0"/>
            <w:vAlign w:val="center"/>
          </w:tcPr>
          <w:p>
            <w:pPr>
              <w:widowControl/>
              <w:snapToGrid w:val="0"/>
              <w:jc w:val="center"/>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397"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二</w:t>
            </w:r>
          </w:p>
        </w:tc>
        <w:tc>
          <w:tcPr>
            <w:tcW w:w="1238"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航道维护分类及标准（30分）</w:t>
            </w:r>
          </w:p>
        </w:tc>
        <w:tc>
          <w:tcPr>
            <w:tcW w:w="12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1.维护类别与范围</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根据航道等级和通航要求确定航道维护类别和维护范围</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8分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未确定航道维护类别扣4分，未确定维护范围扣4分</w:t>
            </w:r>
          </w:p>
        </w:tc>
        <w:tc>
          <w:tcPr>
            <w:tcW w:w="720" w:type="dxa"/>
            <w:noWrap w:val="0"/>
            <w:vAlign w:val="center"/>
          </w:tcPr>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576" w:type="dxa"/>
            <w:noWrap w:val="0"/>
            <w:vAlign w:val="center"/>
          </w:tcPr>
          <w:p>
            <w:pPr>
              <w:widowControl/>
              <w:snapToGrid w:val="0"/>
              <w:jc w:val="center"/>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2.维护尺度</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航道水深、宽度、弯曲半径应满足航道维护标准的要求</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8分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水深、宽度、弯曲半径未达到维护标准要求的，每项扣3分</w:t>
            </w:r>
          </w:p>
        </w:tc>
        <w:tc>
          <w:tcPr>
            <w:tcW w:w="720" w:type="dxa"/>
            <w:noWrap w:val="0"/>
            <w:vAlign w:val="center"/>
          </w:tcPr>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576" w:type="dxa"/>
            <w:noWrap w:val="0"/>
            <w:vAlign w:val="center"/>
          </w:tcPr>
          <w:p>
            <w:pPr>
              <w:widowControl/>
              <w:snapToGrid w:val="0"/>
              <w:jc w:val="center"/>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85"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3.航道维护水深年保证率</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天然径流航道一类维护：Ⅰ、Ⅱ级航道达到98%以上，Ⅲ、Ⅳ级航道达到95%以上；二类维护：Ⅲ、Ⅳ级航道达到94%以上，Ⅴ-Ⅶ级航道达到88%以上。潮汐河口航道一类维护：无备淤航道达到90%以上，有备淤航道达到98%以上；二类维护：无备淤航道达到85％以上，有备淤航道达到95％以上；三类维护：无备淤航道达到80％以上，有备淤航道达到90％以上</w:t>
            </w:r>
          </w:p>
        </w:tc>
        <w:tc>
          <w:tcPr>
            <w:tcW w:w="1080" w:type="dxa"/>
            <w:noWrap w:val="0"/>
            <w:vAlign w:val="center"/>
          </w:tcPr>
          <w:p>
            <w:pPr>
              <w:widowControl/>
              <w:snapToGrid w:val="0"/>
              <w:jc w:val="center"/>
              <w:rPr>
                <w:rFonts w:ascii="仿宋_GB2312" w:hAnsi="宋体" w:cs="宋体"/>
                <w:iCs/>
                <w:kern w:val="0"/>
                <w:sz w:val="18"/>
                <w:szCs w:val="18"/>
              </w:rPr>
            </w:pPr>
            <w:r>
              <w:rPr>
                <w:rFonts w:hint="eastAsia" w:ascii="仿宋_GB2312" w:hAnsi="宋体" w:cs="宋体"/>
                <w:iCs/>
                <w:kern w:val="0"/>
                <w:sz w:val="18"/>
                <w:szCs w:val="18"/>
              </w:rPr>
              <w:t>14分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航道维护水深年保证率每低于标准一个百分点，扣5分</w:t>
            </w:r>
          </w:p>
        </w:tc>
        <w:tc>
          <w:tcPr>
            <w:tcW w:w="720" w:type="dxa"/>
            <w:noWrap w:val="0"/>
            <w:vAlign w:val="center"/>
          </w:tcPr>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576" w:type="dxa"/>
            <w:noWrap w:val="0"/>
            <w:vAlign w:val="center"/>
          </w:tcPr>
          <w:p>
            <w:pPr>
              <w:widowControl/>
              <w:snapToGrid w:val="0"/>
              <w:jc w:val="center"/>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397"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三</w:t>
            </w:r>
          </w:p>
        </w:tc>
        <w:tc>
          <w:tcPr>
            <w:tcW w:w="1238"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维护措施（45分）</w:t>
            </w:r>
          </w:p>
        </w:tc>
        <w:tc>
          <w:tcPr>
            <w:tcW w:w="12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1.测量</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维护测量的内容和工作量完成年度计划，其成果质量满足年度维护计划要求，长河段测量应定期更新</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iCs/>
                <w:kern w:val="0"/>
                <w:sz w:val="18"/>
                <w:szCs w:val="18"/>
              </w:rPr>
              <w:t>6</w:t>
            </w:r>
            <w:r>
              <w:rPr>
                <w:rFonts w:hint="eastAsia" w:ascii="仿宋_GB2312" w:hAnsi="宋体" w:cs="宋体"/>
                <w:kern w:val="0"/>
                <w:sz w:val="18"/>
                <w:szCs w:val="18"/>
              </w:rPr>
              <w:t>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一项未做到，扣2分</w:t>
            </w:r>
          </w:p>
        </w:tc>
        <w:tc>
          <w:tcPr>
            <w:tcW w:w="720" w:type="dxa"/>
            <w:noWrap w:val="0"/>
            <w:vAlign w:val="center"/>
          </w:tcPr>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576"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2.水文观测</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根据航道维护要求进行水位、流速和泥沙等水文观测；骨干航道沿线管理站点设置水位尺并每天更新水位公告（不含潮汐河流）</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一项未观测，扣1分；未设置水位尺或者未更新水位公告的，扣2分</w:t>
            </w:r>
          </w:p>
        </w:tc>
        <w:tc>
          <w:tcPr>
            <w:tcW w:w="720" w:type="dxa"/>
            <w:noWrap w:val="0"/>
            <w:vAlign w:val="center"/>
          </w:tcPr>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576"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kinsoku w:val="0"/>
              <w:overflowPunct w:val="0"/>
              <w:autoSpaceDE w:val="0"/>
              <w:autoSpaceDN w:val="0"/>
              <w:adjustRightInd w:val="0"/>
              <w:snapToGrid w:val="0"/>
              <w:jc w:val="left"/>
              <w:rPr>
                <w:rFonts w:ascii="仿宋_GB2312" w:hAnsi="宋体" w:cs="宋体"/>
                <w:kern w:val="0"/>
                <w:sz w:val="18"/>
                <w:szCs w:val="18"/>
              </w:rPr>
            </w:pPr>
            <w:r>
              <w:rPr>
                <w:rFonts w:hint="eastAsia" w:ascii="仿宋_GB2312" w:hAnsi="宋体" w:cs="宋体"/>
                <w:kern w:val="0"/>
                <w:sz w:val="18"/>
                <w:szCs w:val="18"/>
              </w:rPr>
              <w:t>3.工程措施</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采取疏浚、清障、改槽等维护措施保证航道维护尺度。限制性骨干航道竣工断面底宽范围内平均淤高10厘米以上、底宽两侧坡脚前5米范围内平均淤高30厘米以上，且连续长度1公里以上时应安排疏浚。发现碍航物应当场设立标示，影响通航条件的在48小时内完成，其他在7天内完成；不发生因水下碍航物未及时清除造成的水上交通事故</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27分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采取工程措施不力不能保证航道维护尺度的，视情扣4-9分。未及时安排疏浚的，每次扣3分，导致船舶搁浅或者堵航的，扣9分。未按规定时限完成清障任务的，每次扣3分，发生因水下碍航物未及时清除造成水上交通事故的，扣9分</w:t>
            </w:r>
          </w:p>
        </w:tc>
        <w:tc>
          <w:tcPr>
            <w:tcW w:w="720" w:type="dxa"/>
            <w:noWrap w:val="0"/>
            <w:vAlign w:val="center"/>
          </w:tcPr>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576"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4.信息发布</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建立健全航道信息发布制度，及时、准确地发布航道信息、服务社会公众</w:t>
            </w:r>
          </w:p>
        </w:tc>
        <w:tc>
          <w:tcPr>
            <w:tcW w:w="1080" w:type="dxa"/>
            <w:noWrap/>
            <w:vAlign w:val="center"/>
          </w:tcPr>
          <w:p>
            <w:pPr>
              <w:widowControl/>
              <w:snapToGrid w:val="0"/>
              <w:jc w:val="center"/>
              <w:rPr>
                <w:rFonts w:ascii="仿宋_GB2312" w:hAnsi="宋体" w:cs="宋体"/>
                <w:iCs/>
                <w:strike/>
                <w:kern w:val="0"/>
                <w:sz w:val="18"/>
                <w:szCs w:val="18"/>
              </w:rPr>
            </w:pPr>
            <w:r>
              <w:rPr>
                <w:rFonts w:hint="eastAsia" w:ascii="仿宋_GB2312" w:hAnsi="宋体" w:cs="宋体"/>
                <w:kern w:val="0"/>
                <w:sz w:val="18"/>
                <w:szCs w:val="18"/>
              </w:rPr>
              <w:t>6分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未建立制度扣3分，信息发布不准确、不及时的，扣3分</w:t>
            </w:r>
          </w:p>
        </w:tc>
        <w:tc>
          <w:tcPr>
            <w:tcW w:w="720" w:type="dxa"/>
            <w:noWrap w:val="0"/>
            <w:vAlign w:val="center"/>
          </w:tcPr>
          <w:p>
            <w:pPr>
              <w:widowControl/>
              <w:snapToGrid w:val="0"/>
              <w:jc w:val="center"/>
              <w:rPr>
                <w:rFonts w:ascii="仿宋_GB2312" w:hAnsi="宋体" w:cs="宋体"/>
                <w:kern w:val="0"/>
                <w:sz w:val="18"/>
                <w:szCs w:val="18"/>
              </w:rPr>
            </w:pPr>
          </w:p>
          <w:p>
            <w:pPr>
              <w:widowControl/>
              <w:snapToGrid w:val="0"/>
              <w:jc w:val="center"/>
              <w:rPr>
                <w:rFonts w:ascii="仿宋_GB2312" w:hAnsi="宋体" w:cs="宋体"/>
                <w:kern w:val="0"/>
                <w:sz w:val="18"/>
                <w:szCs w:val="18"/>
              </w:rPr>
            </w:pPr>
          </w:p>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576" w:type="dxa"/>
            <w:noWrap w:val="0"/>
            <w:vAlign w:val="center"/>
          </w:tcPr>
          <w:p>
            <w:pPr>
              <w:widowControl/>
              <w:snapToGrid w:val="0"/>
              <w:jc w:val="center"/>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97"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四</w:t>
            </w:r>
          </w:p>
        </w:tc>
        <w:tc>
          <w:tcPr>
            <w:tcW w:w="1238" w:type="dxa"/>
            <w:vMerge w:val="restart"/>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资料及档案管理(10分)</w:t>
            </w:r>
          </w:p>
        </w:tc>
        <w:tc>
          <w:tcPr>
            <w:tcW w:w="12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1.维护资料</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航道维护项目资料完好、齐备，包括维护性疏浚、清障、改槽等</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资料不齐全扣2分、不规范扣1分、不真实扣3分</w:t>
            </w:r>
          </w:p>
        </w:tc>
        <w:tc>
          <w:tcPr>
            <w:tcW w:w="720" w:type="dxa"/>
            <w:noWrap w:val="0"/>
            <w:vAlign w:val="center"/>
          </w:tcPr>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576" w:type="dxa"/>
            <w:noWrap w:val="0"/>
            <w:vAlign w:val="center"/>
          </w:tcPr>
          <w:p>
            <w:pPr>
              <w:snapToGrid w:val="0"/>
              <w:jc w:val="center"/>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2.养护记录</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养护检查、测量、观测记录规范、齐全</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记录不齐全扣2分、不规范扣1分、不真实扣3分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0" w:type="auto"/>
            <w:noWrap w:val="0"/>
            <w:vAlign w:val="center"/>
          </w:tcPr>
          <w:p>
            <w:pPr>
              <w:widowControl/>
              <w:jc w:val="left"/>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3.统计资料</w:t>
            </w:r>
          </w:p>
        </w:tc>
        <w:tc>
          <w:tcPr>
            <w:tcW w:w="48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建立完善的统计制度并制定能反映计划指标完成情况的统计报表，航道养护成果数据统计全面准确，及时报送，并纳入成果资料中</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36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无统计制度扣2分，统计数据不全面扣2分，上报不及时扣1分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0" w:type="auto"/>
            <w:noWrap w:val="0"/>
            <w:vAlign w:val="center"/>
          </w:tcPr>
          <w:p>
            <w:pPr>
              <w:widowControl/>
              <w:jc w:val="left"/>
              <w:rPr>
                <w:rFonts w:ascii="仿宋_GB2312" w:hAnsi="宋体" w:cs="宋体"/>
                <w:kern w:val="0"/>
                <w:sz w:val="18"/>
                <w:szCs w:val="18"/>
              </w:rPr>
            </w:pPr>
          </w:p>
        </w:tc>
      </w:tr>
    </w:tbl>
    <w:p>
      <w:pPr>
        <w:widowControl/>
        <w:ind w:firstLine="600"/>
        <w:jc w:val="left"/>
        <w:rPr>
          <w:rFonts w:ascii="宋体" w:hAnsi="宋体"/>
          <w:sz w:val="30"/>
          <w:szCs w:val="30"/>
        </w:rPr>
        <w:sectPr>
          <w:pgSz w:w="16838" w:h="11906" w:orient="landscape"/>
          <w:pgMar w:top="1440" w:right="1440" w:bottom="1440" w:left="1440" w:header="851" w:footer="992" w:gutter="0"/>
          <w:pgNumType w:fmt="numberInDash"/>
          <w:cols w:space="720" w:num="1"/>
          <w:docGrid w:type="lines" w:linePitch="312" w:charSpace="0"/>
        </w:sectPr>
      </w:pPr>
    </w:p>
    <w:p>
      <w:pPr>
        <w:widowControl/>
        <w:snapToGrid w:val="0"/>
        <w:jc w:val="center"/>
        <w:rPr>
          <w:rFonts w:ascii="仿宋_GB2312" w:hAnsi="宋体" w:cs="宋体"/>
          <w:kern w:val="0"/>
          <w:sz w:val="24"/>
        </w:rPr>
      </w:pPr>
      <w:r>
        <w:rPr>
          <w:rFonts w:hint="eastAsia" w:ascii="仿宋_GB2312" w:hAnsi="宋体" w:cs="宋体"/>
          <w:bCs/>
          <w:kern w:val="0"/>
          <w:sz w:val="24"/>
        </w:rPr>
        <w:t>表三、航标维护</w:t>
      </w:r>
      <w:r>
        <w:rPr>
          <w:rFonts w:hint="eastAsia" w:ascii="仿宋_GB2312" w:hAnsi="黑体" w:cs="宋体"/>
          <w:bCs/>
          <w:kern w:val="0"/>
          <w:sz w:val="24"/>
        </w:rPr>
        <w:t>核查</w:t>
      </w:r>
      <w:r>
        <w:rPr>
          <w:rFonts w:hint="eastAsia" w:ascii="仿宋_GB2312" w:hAnsi="宋体" w:cs="宋体"/>
          <w:bCs/>
          <w:kern w:val="0"/>
          <w:sz w:val="24"/>
        </w:rPr>
        <w:t>表</w:t>
      </w:r>
    </w:p>
    <w:tbl>
      <w:tblPr>
        <w:tblStyle w:val="6"/>
        <w:tblW w:w="1429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1260"/>
        <w:gridCol w:w="1260"/>
        <w:gridCol w:w="5580"/>
        <w:gridCol w:w="900"/>
        <w:gridCol w:w="3116"/>
        <w:gridCol w:w="720"/>
        <w:gridCol w:w="72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375"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序号</w:t>
            </w:r>
          </w:p>
        </w:tc>
        <w:tc>
          <w:tcPr>
            <w:tcW w:w="1260" w:type="dxa"/>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目标</w:t>
            </w:r>
          </w:p>
        </w:tc>
        <w:tc>
          <w:tcPr>
            <w:tcW w:w="6840" w:type="dxa"/>
            <w:gridSpan w:val="2"/>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内容</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标准分(100分)</w:t>
            </w:r>
          </w:p>
        </w:tc>
        <w:tc>
          <w:tcPr>
            <w:tcW w:w="3116" w:type="dxa"/>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标准</w:t>
            </w:r>
          </w:p>
        </w:tc>
        <w:tc>
          <w:tcPr>
            <w:tcW w:w="72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自评分</w:t>
            </w:r>
          </w:p>
        </w:tc>
        <w:tc>
          <w:tcPr>
            <w:tcW w:w="720" w:type="dxa"/>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实际得分</w:t>
            </w:r>
          </w:p>
        </w:tc>
        <w:tc>
          <w:tcPr>
            <w:tcW w:w="36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一</w:t>
            </w:r>
          </w:p>
        </w:tc>
        <w:tc>
          <w:tcPr>
            <w:tcW w:w="1260"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贯彻落实法规，建立健全制度(5分)</w:t>
            </w: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1.落实法规</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认真贯彻落实《中华人民共和国航标条例》、《内河航标管理办法》等法规</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贯彻落实航标法规有漏项的，每项扣1分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2.各项制度</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建立健全航标养护管理各项规章制度</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管理制度不健全的，每项扣1分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二</w:t>
            </w:r>
          </w:p>
        </w:tc>
        <w:tc>
          <w:tcPr>
            <w:tcW w:w="1260"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航标维护数量和正常率(25分)</w:t>
            </w: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1.计划完成情况</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河床稳定的航道，全年的航标座天数和灯天数与计划数量相差±3%以内；河床变化较大的航道，全年的航标座天数和灯天数与计划数量相差±5%以内</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河床稳定的航道，每超过规定范围1个百分点扣1分；河床变化较大的航道，特殊情况酌情处理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2.航标维护正常率</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一类维护航标正常率不小于99%；二类维护航标正常率不小于95%；潮汐河口航道航标维护正常率不小于99.8％</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20分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每类航道航标维护正常率每低1个百分点扣5分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三</w:t>
            </w:r>
          </w:p>
        </w:tc>
        <w:tc>
          <w:tcPr>
            <w:tcW w:w="1260"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航标配布、设置和调整(20分)</w:t>
            </w: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1.航标配布</w:t>
            </w:r>
          </w:p>
        </w:tc>
        <w:tc>
          <w:tcPr>
            <w:tcW w:w="5580" w:type="dxa"/>
            <w:noWrap w:val="0"/>
            <w:vAlign w:val="top"/>
          </w:tcPr>
          <w:p>
            <w:pPr>
              <w:widowControl/>
              <w:snapToGrid w:val="0"/>
              <w:rPr>
                <w:rFonts w:ascii="仿宋_GB2312" w:hAnsi="宋体" w:cs="宋体"/>
                <w:kern w:val="0"/>
                <w:sz w:val="18"/>
                <w:szCs w:val="18"/>
              </w:rPr>
            </w:pPr>
            <w:r>
              <w:rPr>
                <w:rFonts w:hint="eastAsia" w:ascii="仿宋_GB2312" w:hAnsi="宋体" w:cs="宋体"/>
                <w:kern w:val="0"/>
                <w:sz w:val="18"/>
                <w:szCs w:val="18"/>
              </w:rPr>
              <w:t>航标配布应符合《内河助航标志》和《内河航道维护技术规范》等规范的规定要求</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航标配布错误扣5分，航标配布不合理每座扣1分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2.航标设置</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航标设置应符合规范要求：一类维护航道航标的设置，应满足一类或二类航标配布要求，条件优良的运河航道和水网航道可按重点航标配布要求设置发光的航标。二类维护航道航标的设置，应满足二类或三类航标配布要求，运河航道和水网航道和通航条件较好的天然航道，可按重点航标配布要求设置发光或不发光的航标</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航标的设置不符合要求，每座扣1分，扣完为止</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3.航标调整</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河床稳定的航道应按航标配布图设置航标，并根据水位或水深变化及时调整。通航条件变化较大的滩险航道，应根据航道变化情况和船舶安全航行要求及时调整航标位置和数量</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未按规定及时调整航标每座扣1分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4.航标恢复</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桥区、碍航礁石和滩嘴等关键位置的航标失常时，必须立即恢复，其他航标应及时恢复</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未按规定及时恢复航标每座扣1分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四</w:t>
            </w:r>
          </w:p>
        </w:tc>
        <w:tc>
          <w:tcPr>
            <w:tcW w:w="1260"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航标和标志标牌养护质量（25分）</w:t>
            </w: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1.标位正确</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位置正确，结构良好，安装牢固，稳定可靠</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位置不正确每座扣2分，其他不符合要求每座扣1分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2.标志正常</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外形尺寸符合规定，颜色鲜明，灯光明亮，灯质和视距符合要求</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灯光熄灭或灯质错误每座扣2分，其他不符合要求每座扣1分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3.通视及信号</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通视有效范围内无遮掩物，通行信号和水深信号揭示及时、正确</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不符合要求每座或每处扣1分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4.航标设备</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航标采用定型产品，灯器和能源应满足性能良好、质量可靠，使用维护方便、环保、节能等要求</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不符合要求每座扣或每处1分</w:t>
            </w:r>
          </w:p>
        </w:tc>
        <w:tc>
          <w:tcPr>
            <w:tcW w:w="720" w:type="dxa"/>
            <w:noWrap w:val="0"/>
            <w:vAlign w:val="center"/>
          </w:tcPr>
          <w:p>
            <w:pPr>
              <w:widowControl/>
              <w:snapToGrid w:val="0"/>
              <w:jc w:val="center"/>
              <w:rPr>
                <w:rFonts w:ascii="仿宋_GB2312" w:hAnsi="宋体" w:cs="宋体"/>
                <w:kern w:val="0"/>
                <w:sz w:val="18"/>
                <w:szCs w:val="18"/>
              </w:rPr>
            </w:pPr>
          </w:p>
        </w:tc>
        <w:tc>
          <w:tcPr>
            <w:tcW w:w="720" w:type="dxa"/>
            <w:noWrap w:val="0"/>
            <w:vAlign w:val="center"/>
          </w:tcPr>
          <w:p>
            <w:pPr>
              <w:widowControl/>
              <w:snapToGrid w:val="0"/>
              <w:jc w:val="center"/>
              <w:rPr>
                <w:rFonts w:ascii="仿宋_GB2312" w:hAnsi="宋体" w:cs="宋体"/>
                <w:kern w:val="0"/>
                <w:sz w:val="18"/>
                <w:szCs w:val="18"/>
              </w:rPr>
            </w:pPr>
          </w:p>
        </w:tc>
        <w:tc>
          <w:tcPr>
            <w:tcW w:w="360" w:type="dxa"/>
            <w:noWrap w:val="0"/>
            <w:vAlign w:val="center"/>
          </w:tcPr>
          <w:p>
            <w:pPr>
              <w:widowControl/>
              <w:snapToGrid w:val="0"/>
              <w:jc w:val="center"/>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5.标志标牌</w:t>
            </w:r>
          </w:p>
        </w:tc>
        <w:tc>
          <w:tcPr>
            <w:tcW w:w="5580" w:type="dxa"/>
            <w:noWrap w:val="0"/>
            <w:vAlign w:val="center"/>
          </w:tcPr>
          <w:p>
            <w:pPr>
              <w:widowControl/>
              <w:snapToGrid w:val="0"/>
              <w:rPr>
                <w:rFonts w:ascii="仿宋_GB2312" w:hAnsi="宋体" w:cs="宋体"/>
                <w:kern w:val="0"/>
                <w:sz w:val="18"/>
                <w:szCs w:val="18"/>
              </w:rPr>
            </w:pPr>
            <w:r>
              <w:rPr>
                <w:rFonts w:hint="eastAsia" w:ascii="仿宋_GB2312"/>
                <w:sz w:val="18"/>
                <w:szCs w:val="18"/>
              </w:rPr>
              <w:t>标志标牌被盗、损毁、倾斜等，应在1月内完成整改；宣传牌等应适时更新，保持版面完整清晰</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3116" w:type="dxa"/>
            <w:noWrap w:val="0"/>
            <w:vAlign w:val="center"/>
          </w:tcPr>
          <w:p>
            <w:pPr>
              <w:widowControl/>
              <w:snapToGrid w:val="0"/>
              <w:rPr>
                <w:rFonts w:ascii="仿宋_GB2312" w:hAnsi="宋体" w:cs="宋体"/>
                <w:kern w:val="0"/>
                <w:sz w:val="18"/>
                <w:szCs w:val="18"/>
              </w:rPr>
            </w:pPr>
            <w:r>
              <w:rPr>
                <w:rFonts w:hint="eastAsia" w:ascii="仿宋_GB2312"/>
                <w:sz w:val="18"/>
                <w:szCs w:val="18"/>
              </w:rPr>
              <w:t>未及时维护整改的每处扣1分，未及时更新宣传内容导致版面破损、模糊的每处扣2分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五</w:t>
            </w:r>
          </w:p>
        </w:tc>
        <w:tc>
          <w:tcPr>
            <w:tcW w:w="1260"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航标的检查、保养与维修（16分）</w:t>
            </w: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1.基本要求</w:t>
            </w:r>
          </w:p>
        </w:tc>
        <w:tc>
          <w:tcPr>
            <w:tcW w:w="5580" w:type="dxa"/>
            <w:noWrap w:val="0"/>
            <w:vAlign w:val="top"/>
          </w:tcPr>
          <w:p>
            <w:pPr>
              <w:widowControl/>
              <w:snapToGrid w:val="0"/>
              <w:rPr>
                <w:rFonts w:ascii="仿宋_GB2312" w:hAnsi="宋体" w:cs="宋体"/>
                <w:kern w:val="0"/>
                <w:sz w:val="18"/>
                <w:szCs w:val="18"/>
              </w:rPr>
            </w:pPr>
            <w:r>
              <w:rPr>
                <w:rFonts w:hint="eastAsia" w:ascii="仿宋_GB2312" w:hAnsi="宋体" w:cs="宋体"/>
                <w:kern w:val="0"/>
                <w:sz w:val="18"/>
                <w:szCs w:val="18"/>
              </w:rPr>
              <w:t>应根据河流、航道特点、航标类型及材质确定航标检查、保养与维修的内容、技术要求和周期，并符合规范要求</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不符合要求每项扣1分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2.常规检查</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航标应按规范要求进行日常检查、定期检查和临时检查</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不符合要求每次扣1分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3.保养和维修</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航标保养和维修周期等符合规范要求</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不符合要求每次扣1分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4.备品数量</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航标备品数量应符合规范要求</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低于规定20％的扣1分，低于规定50％扣2分，严重不足扣3分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375"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六</w:t>
            </w:r>
          </w:p>
        </w:tc>
        <w:tc>
          <w:tcPr>
            <w:tcW w:w="1260"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资料及档案管理（9分）</w:t>
            </w: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1.检查记录</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检查记录准确、详细和规范</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记录不准确、不规范,每处扣1分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2.航标档案</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航标档案齐全,规范</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航标档案不齐全,每座扣1分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375" w:type="dxa"/>
            <w:vMerge w:val="continue"/>
            <w:noWrap w:val="0"/>
            <w:vAlign w:val="center"/>
          </w:tcPr>
          <w:p>
            <w:pPr>
              <w:widowControl/>
              <w:jc w:val="left"/>
              <w:rPr>
                <w:rFonts w:ascii="仿宋_GB2312" w:hAnsi="宋体" w:cs="宋体"/>
                <w:kern w:val="0"/>
                <w:sz w:val="18"/>
                <w:szCs w:val="18"/>
              </w:rPr>
            </w:pPr>
          </w:p>
        </w:tc>
        <w:tc>
          <w:tcPr>
            <w:tcW w:w="1260" w:type="dxa"/>
            <w:vMerge w:val="continue"/>
            <w:noWrap w:val="0"/>
            <w:vAlign w:val="center"/>
          </w:tcPr>
          <w:p>
            <w:pPr>
              <w:widowControl/>
              <w:jc w:val="left"/>
              <w:rPr>
                <w:rFonts w:ascii="仿宋_GB2312" w:hAnsi="宋体" w:cs="宋体"/>
                <w:kern w:val="0"/>
                <w:sz w:val="18"/>
                <w:szCs w:val="18"/>
              </w:rPr>
            </w:pPr>
          </w:p>
        </w:tc>
        <w:tc>
          <w:tcPr>
            <w:tcW w:w="126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3.统计资料</w:t>
            </w:r>
          </w:p>
        </w:tc>
        <w:tc>
          <w:tcPr>
            <w:tcW w:w="5580"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统计资料报表、航标变更按时上报</w:t>
            </w:r>
          </w:p>
        </w:tc>
        <w:tc>
          <w:tcPr>
            <w:tcW w:w="90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3116" w:type="dxa"/>
            <w:noWrap w:val="0"/>
            <w:vAlign w:val="center"/>
          </w:tcPr>
          <w:p>
            <w:pPr>
              <w:widowControl/>
              <w:snapToGrid w:val="0"/>
              <w:rPr>
                <w:rFonts w:ascii="仿宋_GB2312" w:hAnsi="宋体" w:cs="宋体"/>
                <w:kern w:val="0"/>
                <w:sz w:val="18"/>
                <w:szCs w:val="18"/>
              </w:rPr>
            </w:pPr>
            <w:r>
              <w:rPr>
                <w:rFonts w:hint="eastAsia" w:ascii="仿宋_GB2312" w:hAnsi="宋体" w:cs="宋体"/>
                <w:kern w:val="0"/>
                <w:sz w:val="18"/>
                <w:szCs w:val="18"/>
              </w:rPr>
              <w:t>未按规定及时上报扣1分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6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bl>
    <w:p>
      <w:pPr>
        <w:widowControl/>
        <w:ind w:firstLine="600"/>
        <w:jc w:val="left"/>
        <w:rPr>
          <w:rFonts w:ascii="宋体" w:hAnsi="宋体"/>
          <w:sz w:val="30"/>
          <w:szCs w:val="30"/>
        </w:rPr>
        <w:sectPr>
          <w:pgSz w:w="16838" w:h="11906" w:orient="landscape"/>
          <w:pgMar w:top="1440" w:right="1440" w:bottom="1440" w:left="1440" w:header="851" w:footer="992" w:gutter="0"/>
          <w:pgNumType w:fmt="numberInDash"/>
          <w:cols w:space="720" w:num="1"/>
          <w:docGrid w:type="lines" w:linePitch="312" w:charSpace="0"/>
        </w:sectPr>
      </w:pPr>
    </w:p>
    <w:p>
      <w:pPr>
        <w:widowControl/>
        <w:jc w:val="center"/>
        <w:rPr>
          <w:rFonts w:ascii="仿宋_GB2312" w:hAnsi="宋体" w:cs="宋体"/>
          <w:kern w:val="0"/>
          <w:sz w:val="24"/>
        </w:rPr>
      </w:pPr>
      <w:r>
        <w:rPr>
          <w:rFonts w:hint="eastAsia" w:ascii="仿宋_GB2312" w:hAnsi="宋体" w:cs="宋体"/>
          <w:bCs/>
          <w:kern w:val="0"/>
          <w:sz w:val="24"/>
        </w:rPr>
        <w:t>表四、整治建筑物和管理码头维护核查表</w:t>
      </w:r>
    </w:p>
    <w:tbl>
      <w:tblPr>
        <w:tblStyle w:val="6"/>
        <w:tblW w:w="14347" w:type="dxa"/>
        <w:tblInd w:w="93" w:type="dxa"/>
        <w:tblLayout w:type="autofit"/>
        <w:tblCellMar>
          <w:top w:w="0" w:type="dxa"/>
          <w:left w:w="108" w:type="dxa"/>
          <w:bottom w:w="0" w:type="dxa"/>
          <w:right w:w="108" w:type="dxa"/>
        </w:tblCellMar>
      </w:tblPr>
      <w:tblGrid>
        <w:gridCol w:w="397"/>
        <w:gridCol w:w="1474"/>
        <w:gridCol w:w="1496"/>
        <w:gridCol w:w="4084"/>
        <w:gridCol w:w="1019"/>
        <w:gridCol w:w="4145"/>
        <w:gridCol w:w="596"/>
        <w:gridCol w:w="596"/>
        <w:gridCol w:w="540"/>
      </w:tblGrid>
      <w:tr>
        <w:tblPrEx>
          <w:tblCellMar>
            <w:top w:w="0" w:type="dxa"/>
            <w:left w:w="108" w:type="dxa"/>
            <w:bottom w:w="0" w:type="dxa"/>
            <w:right w:w="108" w:type="dxa"/>
          </w:tblCellMar>
        </w:tblPrEx>
        <w:trPr>
          <w:trHeight w:val="585" w:hRule="atLeast"/>
          <w:tblHeader/>
        </w:trPr>
        <w:tc>
          <w:tcPr>
            <w:tcW w:w="397" w:type="dxa"/>
            <w:tcBorders>
              <w:top w:val="single" w:color="auto" w:sz="8" w:space="0"/>
              <w:left w:val="single" w:color="auto" w:sz="8" w:space="0"/>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序号</w:t>
            </w:r>
          </w:p>
        </w:tc>
        <w:tc>
          <w:tcPr>
            <w:tcW w:w="1474" w:type="dxa"/>
            <w:tcBorders>
              <w:top w:val="single" w:color="auto" w:sz="8" w:space="0"/>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目标</w:t>
            </w:r>
          </w:p>
        </w:tc>
        <w:tc>
          <w:tcPr>
            <w:tcW w:w="5580" w:type="dxa"/>
            <w:gridSpan w:val="2"/>
            <w:tcBorders>
              <w:top w:val="single" w:color="auto" w:sz="8" w:space="0"/>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内容</w:t>
            </w:r>
          </w:p>
        </w:tc>
        <w:tc>
          <w:tcPr>
            <w:tcW w:w="1019" w:type="dxa"/>
            <w:tcBorders>
              <w:top w:val="single" w:color="auto" w:sz="8" w:space="0"/>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标准分（100分）</w:t>
            </w:r>
          </w:p>
        </w:tc>
        <w:tc>
          <w:tcPr>
            <w:tcW w:w="4145" w:type="dxa"/>
            <w:tcBorders>
              <w:top w:val="single" w:color="auto" w:sz="8" w:space="0"/>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标准</w:t>
            </w:r>
          </w:p>
        </w:tc>
        <w:tc>
          <w:tcPr>
            <w:tcW w:w="596" w:type="dxa"/>
            <w:tcBorders>
              <w:top w:val="single" w:color="auto" w:sz="8" w:space="0"/>
              <w:left w:val="nil"/>
              <w:bottom w:val="single" w:color="auto" w:sz="8" w:space="0"/>
              <w:right w:val="single" w:color="auto" w:sz="4" w:space="0"/>
            </w:tcBorders>
            <w:noWrap w:val="0"/>
            <w:vAlign w:val="center"/>
          </w:tcPr>
          <w:p>
            <w:pPr>
              <w:widowControl/>
              <w:snapToGrid w:val="0"/>
              <w:jc w:val="center"/>
              <w:rPr>
                <w:rFonts w:ascii="仿宋_GB2312" w:hAnsi="宋体" w:cs="宋体"/>
                <w:spacing w:val="-20"/>
                <w:kern w:val="0"/>
                <w:sz w:val="18"/>
                <w:szCs w:val="18"/>
              </w:rPr>
            </w:pPr>
            <w:r>
              <w:rPr>
                <w:rFonts w:hint="eastAsia" w:ascii="仿宋_GB2312" w:hAnsi="宋体" w:cs="宋体"/>
                <w:spacing w:val="-20"/>
                <w:kern w:val="0"/>
                <w:sz w:val="18"/>
                <w:szCs w:val="18"/>
              </w:rPr>
              <w:t>自评分</w:t>
            </w:r>
          </w:p>
        </w:tc>
        <w:tc>
          <w:tcPr>
            <w:tcW w:w="596" w:type="dxa"/>
            <w:tcBorders>
              <w:top w:val="single" w:color="auto" w:sz="8" w:space="0"/>
              <w:left w:val="nil"/>
              <w:bottom w:val="single" w:color="auto" w:sz="8" w:space="0"/>
              <w:right w:val="single" w:color="auto" w:sz="4" w:space="0"/>
            </w:tcBorders>
            <w:noWrap w:val="0"/>
            <w:vAlign w:val="center"/>
          </w:tcPr>
          <w:p>
            <w:pPr>
              <w:widowControl/>
              <w:snapToGrid w:val="0"/>
              <w:jc w:val="center"/>
              <w:rPr>
                <w:rFonts w:ascii="仿宋_GB2312" w:hAnsi="宋体" w:cs="宋体"/>
                <w:spacing w:val="-20"/>
                <w:kern w:val="0"/>
                <w:sz w:val="18"/>
                <w:szCs w:val="18"/>
              </w:rPr>
            </w:pPr>
            <w:r>
              <w:rPr>
                <w:rFonts w:hint="eastAsia" w:ascii="仿宋_GB2312" w:hAnsi="黑体" w:cs="宋体"/>
                <w:kern w:val="0"/>
                <w:sz w:val="18"/>
                <w:szCs w:val="18"/>
              </w:rPr>
              <w:t>实际得分</w:t>
            </w:r>
          </w:p>
        </w:tc>
        <w:tc>
          <w:tcPr>
            <w:tcW w:w="540" w:type="dxa"/>
            <w:tcBorders>
              <w:top w:val="single" w:color="auto" w:sz="8" w:space="0"/>
              <w:left w:val="nil"/>
              <w:bottom w:val="single" w:color="auto" w:sz="8" w:space="0"/>
              <w:right w:val="single" w:color="auto" w:sz="8"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备注</w:t>
            </w:r>
          </w:p>
        </w:tc>
      </w:tr>
      <w:tr>
        <w:tblPrEx>
          <w:tblCellMar>
            <w:top w:w="0" w:type="dxa"/>
            <w:left w:w="108" w:type="dxa"/>
            <w:bottom w:w="0" w:type="dxa"/>
            <w:right w:w="108" w:type="dxa"/>
          </w:tblCellMar>
        </w:tblPrEx>
        <w:trPr>
          <w:trHeight w:val="585" w:hRule="atLeast"/>
        </w:trPr>
        <w:tc>
          <w:tcPr>
            <w:tcW w:w="397" w:type="dxa"/>
            <w:tcBorders>
              <w:top w:val="nil"/>
              <w:left w:val="single" w:color="auto" w:sz="8" w:space="0"/>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一</w:t>
            </w:r>
          </w:p>
        </w:tc>
        <w:tc>
          <w:tcPr>
            <w:tcW w:w="1474"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健全规章制度（10分）</w:t>
            </w:r>
          </w:p>
        </w:tc>
        <w:tc>
          <w:tcPr>
            <w:tcW w:w="1496"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规章制度</w:t>
            </w:r>
          </w:p>
        </w:tc>
        <w:tc>
          <w:tcPr>
            <w:tcW w:w="4084"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建立健全航道整治建筑物和管理码头维护管理规章制度并贯彻落实</w:t>
            </w:r>
          </w:p>
        </w:tc>
        <w:tc>
          <w:tcPr>
            <w:tcW w:w="1019"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10分</w:t>
            </w:r>
          </w:p>
        </w:tc>
        <w:tc>
          <w:tcPr>
            <w:tcW w:w="4145"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未建立制度扣3分，贯彻落实不力扣3分</w:t>
            </w:r>
          </w:p>
        </w:tc>
        <w:tc>
          <w:tcPr>
            <w:tcW w:w="596"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96"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40" w:type="dxa"/>
            <w:tcBorders>
              <w:top w:val="nil"/>
              <w:left w:val="nil"/>
              <w:bottom w:val="single" w:color="auto" w:sz="8"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1155" w:hRule="atLeast"/>
        </w:trPr>
        <w:tc>
          <w:tcPr>
            <w:tcW w:w="397" w:type="dxa"/>
            <w:vMerge w:val="restart"/>
            <w:tcBorders>
              <w:top w:val="nil"/>
              <w:left w:val="single" w:color="auto" w:sz="8" w:space="0"/>
              <w:bottom w:val="single" w:color="000000"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二</w:t>
            </w:r>
          </w:p>
        </w:tc>
        <w:tc>
          <w:tcPr>
            <w:tcW w:w="1474" w:type="dxa"/>
            <w:vMerge w:val="restart"/>
            <w:tcBorders>
              <w:top w:val="nil"/>
              <w:left w:val="single" w:color="auto" w:sz="4" w:space="0"/>
              <w:bottom w:val="single" w:color="000000"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检查要求（35分）</w:t>
            </w:r>
          </w:p>
        </w:tc>
        <w:tc>
          <w:tcPr>
            <w:tcW w:w="1496" w:type="dxa"/>
            <w:tcBorders>
              <w:top w:val="nil"/>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1.检查内容</w:t>
            </w:r>
          </w:p>
        </w:tc>
        <w:tc>
          <w:tcPr>
            <w:tcW w:w="4084" w:type="dxa"/>
            <w:tcBorders>
              <w:top w:val="nil"/>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按照《内河航道维护技术规范》要求，对航道整治建筑物尺寸、水流状况、功能、缺陷和隐患进行检查，对技术状况进行分析评价；管理码头参照执行</w:t>
            </w:r>
          </w:p>
        </w:tc>
        <w:tc>
          <w:tcPr>
            <w:tcW w:w="1019" w:type="dxa"/>
            <w:tcBorders>
              <w:top w:val="nil"/>
              <w:left w:val="nil"/>
              <w:bottom w:val="nil"/>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10分</w:t>
            </w:r>
          </w:p>
        </w:tc>
        <w:tc>
          <w:tcPr>
            <w:tcW w:w="4145" w:type="dxa"/>
            <w:tcBorders>
              <w:top w:val="nil"/>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缺少一项检查内容扣2分</w:t>
            </w:r>
          </w:p>
        </w:tc>
        <w:tc>
          <w:tcPr>
            <w:tcW w:w="596" w:type="dxa"/>
            <w:tcBorders>
              <w:top w:val="nil"/>
              <w:left w:val="nil"/>
              <w:bottom w:val="nil"/>
              <w:right w:val="single" w:color="auto" w:sz="4" w:space="0"/>
            </w:tcBorders>
            <w:noWrap w:val="0"/>
            <w:vAlign w:val="center"/>
          </w:tcPr>
          <w:p>
            <w:pPr>
              <w:widowControl/>
              <w:snapToGrid w:val="0"/>
              <w:jc w:val="center"/>
              <w:rPr>
                <w:rFonts w:ascii="仿宋_GB2312" w:hAnsi="宋体" w:cs="宋体"/>
                <w:kern w:val="0"/>
                <w:sz w:val="18"/>
                <w:szCs w:val="18"/>
              </w:rPr>
            </w:pPr>
          </w:p>
        </w:tc>
        <w:tc>
          <w:tcPr>
            <w:tcW w:w="596" w:type="dxa"/>
            <w:tcBorders>
              <w:top w:val="nil"/>
              <w:left w:val="nil"/>
              <w:bottom w:val="nil"/>
              <w:right w:val="single" w:color="auto" w:sz="4" w:space="0"/>
            </w:tcBorders>
            <w:noWrap w:val="0"/>
            <w:vAlign w:val="center"/>
          </w:tcPr>
          <w:p>
            <w:pPr>
              <w:widowControl/>
              <w:snapToGrid w:val="0"/>
              <w:jc w:val="center"/>
              <w:rPr>
                <w:rFonts w:ascii="仿宋_GB2312" w:hAnsi="宋体" w:cs="宋体"/>
                <w:kern w:val="0"/>
                <w:sz w:val="18"/>
                <w:szCs w:val="18"/>
              </w:rPr>
            </w:pPr>
          </w:p>
        </w:tc>
        <w:tc>
          <w:tcPr>
            <w:tcW w:w="540" w:type="dxa"/>
            <w:tcBorders>
              <w:top w:val="nil"/>
              <w:left w:val="nil"/>
              <w:bottom w:val="nil"/>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870"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496" w:type="dxa"/>
            <w:tcBorders>
              <w:top w:val="single" w:color="auto" w:sz="8" w:space="0"/>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2.检查重点</w:t>
            </w:r>
          </w:p>
        </w:tc>
        <w:tc>
          <w:tcPr>
            <w:tcW w:w="4084" w:type="dxa"/>
            <w:tcBorders>
              <w:top w:val="single" w:color="auto" w:sz="8" w:space="0"/>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各类整治建筑物按照《内河航道维护技术规范》规定内容进行检查。管理码头重点检查沉降和位移、前沿水深、钢构件和防撞等附属设施状况</w:t>
            </w:r>
          </w:p>
        </w:tc>
        <w:tc>
          <w:tcPr>
            <w:tcW w:w="1019" w:type="dxa"/>
            <w:tcBorders>
              <w:top w:val="single" w:color="auto" w:sz="8" w:space="0"/>
              <w:left w:val="nil"/>
              <w:bottom w:val="nil"/>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15分</w:t>
            </w:r>
          </w:p>
        </w:tc>
        <w:tc>
          <w:tcPr>
            <w:tcW w:w="4145" w:type="dxa"/>
            <w:tcBorders>
              <w:top w:val="single" w:color="auto" w:sz="8" w:space="0"/>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不符合规范要求的，每项扣2分</w:t>
            </w:r>
          </w:p>
        </w:tc>
        <w:tc>
          <w:tcPr>
            <w:tcW w:w="596" w:type="dxa"/>
            <w:tcBorders>
              <w:top w:val="single" w:color="auto" w:sz="8" w:space="0"/>
              <w:left w:val="nil"/>
              <w:bottom w:val="nil"/>
              <w:right w:val="single" w:color="auto" w:sz="4" w:space="0"/>
            </w:tcBorders>
            <w:noWrap w:val="0"/>
            <w:vAlign w:val="center"/>
          </w:tcPr>
          <w:p>
            <w:pPr>
              <w:widowControl/>
              <w:snapToGrid w:val="0"/>
              <w:jc w:val="center"/>
              <w:rPr>
                <w:rFonts w:ascii="仿宋_GB2312" w:hAnsi="宋体" w:cs="宋体"/>
                <w:kern w:val="0"/>
                <w:sz w:val="18"/>
                <w:szCs w:val="18"/>
              </w:rPr>
            </w:pPr>
          </w:p>
        </w:tc>
        <w:tc>
          <w:tcPr>
            <w:tcW w:w="596" w:type="dxa"/>
            <w:tcBorders>
              <w:top w:val="single" w:color="auto" w:sz="8" w:space="0"/>
              <w:left w:val="nil"/>
              <w:bottom w:val="nil"/>
              <w:right w:val="single" w:color="auto" w:sz="4" w:space="0"/>
            </w:tcBorders>
            <w:noWrap w:val="0"/>
            <w:vAlign w:val="center"/>
          </w:tcPr>
          <w:p>
            <w:pPr>
              <w:widowControl/>
              <w:snapToGrid w:val="0"/>
              <w:jc w:val="center"/>
              <w:rPr>
                <w:rFonts w:ascii="仿宋_GB2312" w:hAnsi="宋体" w:cs="宋体"/>
                <w:kern w:val="0"/>
                <w:sz w:val="18"/>
                <w:szCs w:val="18"/>
              </w:rPr>
            </w:pPr>
          </w:p>
        </w:tc>
        <w:tc>
          <w:tcPr>
            <w:tcW w:w="540" w:type="dxa"/>
            <w:tcBorders>
              <w:top w:val="single" w:color="auto" w:sz="8" w:space="0"/>
              <w:left w:val="nil"/>
              <w:bottom w:val="nil"/>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762"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496" w:type="dxa"/>
            <w:tcBorders>
              <w:top w:val="single" w:color="auto" w:sz="8"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3.检查周期</w:t>
            </w:r>
          </w:p>
        </w:tc>
        <w:tc>
          <w:tcPr>
            <w:tcW w:w="4084" w:type="dxa"/>
            <w:tcBorders>
              <w:top w:val="single" w:color="auto" w:sz="8"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可检查的航道整治建筑物每年应至少检查1次，管理码头沉降位移、前沿水深观测每半年1次，并有相应记录和分析</w:t>
            </w:r>
          </w:p>
        </w:tc>
        <w:tc>
          <w:tcPr>
            <w:tcW w:w="1019" w:type="dxa"/>
            <w:tcBorders>
              <w:top w:val="single" w:color="auto" w:sz="8" w:space="0"/>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10分</w:t>
            </w:r>
          </w:p>
        </w:tc>
        <w:tc>
          <w:tcPr>
            <w:tcW w:w="4145" w:type="dxa"/>
            <w:tcBorders>
              <w:top w:val="single" w:color="auto" w:sz="8"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strike/>
                <w:kern w:val="0"/>
                <w:sz w:val="18"/>
                <w:szCs w:val="18"/>
              </w:rPr>
              <w:t>年</w:t>
            </w:r>
            <w:r>
              <w:rPr>
                <w:rFonts w:hint="eastAsia" w:ascii="仿宋_GB2312" w:hAnsi="宋体" w:cs="宋体"/>
                <w:kern w:val="0"/>
                <w:sz w:val="18"/>
                <w:szCs w:val="18"/>
              </w:rPr>
              <w:t>检查次数少</w:t>
            </w:r>
            <w:r>
              <w:rPr>
                <w:rFonts w:hint="eastAsia" w:ascii="仿宋_GB2312" w:hAnsi="宋体" w:cs="宋体"/>
                <w:strike/>
                <w:kern w:val="0"/>
                <w:sz w:val="18"/>
                <w:szCs w:val="18"/>
              </w:rPr>
              <w:t>于</w:t>
            </w:r>
            <w:r>
              <w:rPr>
                <w:rFonts w:hint="eastAsia" w:ascii="仿宋_GB2312" w:hAnsi="宋体" w:cs="宋体"/>
                <w:kern w:val="0"/>
                <w:sz w:val="18"/>
                <w:szCs w:val="18"/>
              </w:rPr>
              <w:t>1次的扣2分，无记录、无分析的扣2分</w:t>
            </w:r>
          </w:p>
        </w:tc>
        <w:tc>
          <w:tcPr>
            <w:tcW w:w="596" w:type="dxa"/>
            <w:tcBorders>
              <w:top w:val="single" w:color="auto" w:sz="8" w:space="0"/>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96" w:type="dxa"/>
            <w:tcBorders>
              <w:top w:val="single" w:color="auto" w:sz="8" w:space="0"/>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40" w:type="dxa"/>
            <w:tcBorders>
              <w:top w:val="single" w:color="auto" w:sz="8" w:space="0"/>
              <w:left w:val="nil"/>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570" w:hRule="atLeast"/>
        </w:trPr>
        <w:tc>
          <w:tcPr>
            <w:tcW w:w="397" w:type="dxa"/>
            <w:vMerge w:val="restart"/>
            <w:tcBorders>
              <w:top w:val="nil"/>
              <w:left w:val="single" w:color="auto" w:sz="8" w:space="0"/>
              <w:bottom w:val="single" w:color="000000"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三</w:t>
            </w:r>
          </w:p>
        </w:tc>
        <w:tc>
          <w:tcPr>
            <w:tcW w:w="1474" w:type="dxa"/>
            <w:vMerge w:val="restart"/>
            <w:tcBorders>
              <w:top w:val="nil"/>
              <w:left w:val="single" w:color="auto" w:sz="4" w:space="0"/>
              <w:bottom w:val="single" w:color="000000"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维修要求（40分）</w:t>
            </w:r>
          </w:p>
        </w:tc>
        <w:tc>
          <w:tcPr>
            <w:tcW w:w="1496" w:type="dxa"/>
            <w:tcBorders>
              <w:top w:val="single" w:color="auto" w:sz="8"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1.计划与实施</w:t>
            </w:r>
          </w:p>
        </w:tc>
        <w:tc>
          <w:tcPr>
            <w:tcW w:w="4084" w:type="dxa"/>
            <w:tcBorders>
              <w:top w:val="single" w:color="auto" w:sz="8"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根据检查情况制定年度维修计划，并组织实施</w:t>
            </w:r>
          </w:p>
        </w:tc>
        <w:tc>
          <w:tcPr>
            <w:tcW w:w="1019" w:type="dxa"/>
            <w:tcBorders>
              <w:top w:val="single" w:color="auto" w:sz="8" w:space="0"/>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10分</w:t>
            </w:r>
          </w:p>
        </w:tc>
        <w:tc>
          <w:tcPr>
            <w:tcW w:w="4145" w:type="dxa"/>
            <w:tcBorders>
              <w:top w:val="single" w:color="auto" w:sz="8"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无计划扣5分，计划不完善扣2分，未按计划组织实施扣4分</w:t>
            </w:r>
          </w:p>
        </w:tc>
        <w:tc>
          <w:tcPr>
            <w:tcW w:w="596" w:type="dxa"/>
            <w:tcBorders>
              <w:top w:val="single" w:color="auto" w:sz="8" w:space="0"/>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96" w:type="dxa"/>
            <w:tcBorders>
              <w:top w:val="single" w:color="auto" w:sz="8" w:space="0"/>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40" w:type="dxa"/>
            <w:tcBorders>
              <w:top w:val="single" w:color="auto" w:sz="8" w:space="0"/>
              <w:left w:val="nil"/>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1247"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4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2.及时维修</w:t>
            </w:r>
          </w:p>
        </w:tc>
        <w:tc>
          <w:tcPr>
            <w:tcW w:w="408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技术状况评价为三、四类的整治建筑物，应及时维修。</w:t>
            </w:r>
            <w:r>
              <w:rPr>
                <w:rFonts w:hint="eastAsia" w:ascii="仿宋_GB2312"/>
                <w:sz w:val="18"/>
                <w:szCs w:val="18"/>
              </w:rPr>
              <w:t>发现管理码头因前沿掏空等有坍塌趋势，应立即采取临时加固措施并及时上报；码头防撞轮胎等附属设施损坏应及时组织维修更换；钢构件（含趸船）每年除锈油漆1次</w:t>
            </w:r>
            <w:r>
              <w:rPr>
                <w:rFonts w:hint="eastAsia" w:ascii="仿宋_GB2312" w:hAnsi="宋体" w:cs="宋体"/>
                <w:kern w:val="0"/>
                <w:sz w:val="18"/>
                <w:szCs w:val="18"/>
              </w:rPr>
              <w:t xml:space="preserve"> </w:t>
            </w:r>
          </w:p>
        </w:tc>
        <w:tc>
          <w:tcPr>
            <w:tcW w:w="1019"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20分</w:t>
            </w:r>
          </w:p>
        </w:tc>
        <w:tc>
          <w:tcPr>
            <w:tcW w:w="4145"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因为整治建筑物未及时维修而影响航道畅通和通航安全的，发现一处扣3分；管理</w:t>
            </w:r>
            <w:r>
              <w:rPr>
                <w:rFonts w:hint="eastAsia" w:ascii="仿宋_GB2312"/>
                <w:sz w:val="18"/>
                <w:szCs w:val="18"/>
              </w:rPr>
              <w:t>码头防撞轮胎等附属设施损坏未及时维修每次扣1分；钢构件（含趸船）除锈油漆少1次扣1分；因养护原因出现码头坍塌等事件的，扣10分</w:t>
            </w:r>
          </w:p>
        </w:tc>
        <w:tc>
          <w:tcPr>
            <w:tcW w:w="596"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96"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40" w:type="dxa"/>
            <w:tcBorders>
              <w:top w:val="nil"/>
              <w:left w:val="nil"/>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rPr>
          <w:cantSplit/>
          <w:trHeight w:val="457"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496"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3.维修质量</w:t>
            </w:r>
          </w:p>
        </w:tc>
        <w:tc>
          <w:tcPr>
            <w:tcW w:w="4084"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维修工程质量符合要求</w:t>
            </w:r>
          </w:p>
        </w:tc>
        <w:tc>
          <w:tcPr>
            <w:tcW w:w="1019"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10分</w:t>
            </w:r>
          </w:p>
        </w:tc>
        <w:tc>
          <w:tcPr>
            <w:tcW w:w="4145"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不符合要求扣7分，有缺陷扣3分</w:t>
            </w:r>
          </w:p>
        </w:tc>
        <w:tc>
          <w:tcPr>
            <w:tcW w:w="596"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96"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40" w:type="dxa"/>
            <w:tcBorders>
              <w:top w:val="nil"/>
              <w:left w:val="nil"/>
              <w:bottom w:val="single" w:color="auto" w:sz="8"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570" w:hRule="atLeast"/>
        </w:trPr>
        <w:tc>
          <w:tcPr>
            <w:tcW w:w="397" w:type="dxa"/>
            <w:vMerge w:val="restart"/>
            <w:tcBorders>
              <w:top w:val="nil"/>
              <w:left w:val="single" w:color="auto" w:sz="8" w:space="0"/>
              <w:bottom w:val="single" w:color="000000"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四</w:t>
            </w:r>
          </w:p>
        </w:tc>
        <w:tc>
          <w:tcPr>
            <w:tcW w:w="1474" w:type="dxa"/>
            <w:vMerge w:val="restart"/>
            <w:tcBorders>
              <w:top w:val="nil"/>
              <w:left w:val="single" w:color="auto" w:sz="4" w:space="0"/>
              <w:bottom w:val="single" w:color="000000"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资料及档案管理(15分)</w:t>
            </w:r>
          </w:p>
        </w:tc>
        <w:tc>
          <w:tcPr>
            <w:tcW w:w="14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1.工程资料</w:t>
            </w:r>
          </w:p>
        </w:tc>
        <w:tc>
          <w:tcPr>
            <w:tcW w:w="408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整治建筑物和管理码头勘测、设计、施工、竣工资料完好、齐备</w:t>
            </w:r>
          </w:p>
        </w:tc>
        <w:tc>
          <w:tcPr>
            <w:tcW w:w="1019"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4145"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资料不齐全扣2分、不规范扣1分、不真实扣3分</w:t>
            </w:r>
          </w:p>
        </w:tc>
        <w:tc>
          <w:tcPr>
            <w:tcW w:w="596"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96"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40" w:type="dxa"/>
            <w:tcBorders>
              <w:top w:val="nil"/>
              <w:left w:val="nil"/>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471"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4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2.检查记录</w:t>
            </w:r>
          </w:p>
        </w:tc>
        <w:tc>
          <w:tcPr>
            <w:tcW w:w="408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检查、观测记录规范、齐全</w:t>
            </w:r>
          </w:p>
        </w:tc>
        <w:tc>
          <w:tcPr>
            <w:tcW w:w="1019"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4145"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记录不齐全扣2分、不规范扣1分、不真实扣4分</w:t>
            </w:r>
          </w:p>
        </w:tc>
        <w:tc>
          <w:tcPr>
            <w:tcW w:w="596"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96"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40" w:type="dxa"/>
            <w:tcBorders>
              <w:top w:val="nil"/>
              <w:left w:val="nil"/>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570"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4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3.维修资料</w:t>
            </w:r>
          </w:p>
        </w:tc>
        <w:tc>
          <w:tcPr>
            <w:tcW w:w="408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整治建筑物和管理码头维修设计、施工资料完好、齐全</w:t>
            </w:r>
          </w:p>
        </w:tc>
        <w:tc>
          <w:tcPr>
            <w:tcW w:w="1019"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4145"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维修资料不齐全扣2分、不规范扣1分、不真实扣3分</w:t>
            </w:r>
          </w:p>
        </w:tc>
        <w:tc>
          <w:tcPr>
            <w:tcW w:w="596"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96"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40" w:type="dxa"/>
            <w:tcBorders>
              <w:top w:val="nil"/>
              <w:left w:val="nil"/>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300"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496"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4.统计资料</w:t>
            </w:r>
          </w:p>
        </w:tc>
        <w:tc>
          <w:tcPr>
            <w:tcW w:w="4084"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整治建筑物和管理码头统计资料齐全并按时上报</w:t>
            </w:r>
          </w:p>
        </w:tc>
        <w:tc>
          <w:tcPr>
            <w:tcW w:w="1019"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145"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资料不齐全扣3分、不规范扣1分、不真实扣5分，不按时上报扣1分</w:t>
            </w:r>
          </w:p>
        </w:tc>
        <w:tc>
          <w:tcPr>
            <w:tcW w:w="596"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96"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p>
        </w:tc>
        <w:tc>
          <w:tcPr>
            <w:tcW w:w="540" w:type="dxa"/>
            <w:tcBorders>
              <w:top w:val="nil"/>
              <w:left w:val="nil"/>
              <w:bottom w:val="single" w:color="auto" w:sz="8"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bl>
    <w:p>
      <w:pPr>
        <w:widowControl/>
        <w:ind w:firstLine="600"/>
        <w:jc w:val="left"/>
        <w:rPr>
          <w:rFonts w:ascii="宋体" w:hAnsi="宋体"/>
          <w:sz w:val="30"/>
          <w:szCs w:val="30"/>
        </w:rPr>
        <w:sectPr>
          <w:pgSz w:w="16838" w:h="11906" w:orient="landscape"/>
          <w:pgMar w:top="1440" w:right="1440" w:bottom="1440" w:left="1440" w:header="851" w:footer="992" w:gutter="0"/>
          <w:pgNumType w:fmt="numberInDash"/>
          <w:cols w:space="720" w:num="1"/>
          <w:docGrid w:type="lines" w:linePitch="312" w:charSpace="0"/>
        </w:sectPr>
      </w:pPr>
    </w:p>
    <w:p>
      <w:pPr>
        <w:widowControl/>
        <w:snapToGrid w:val="0"/>
        <w:jc w:val="center"/>
        <w:rPr>
          <w:rFonts w:ascii="仿宋_GB2312" w:hAnsi="宋体" w:cs="宋体"/>
          <w:bCs/>
          <w:kern w:val="0"/>
          <w:sz w:val="24"/>
        </w:rPr>
      </w:pPr>
      <w:r>
        <w:rPr>
          <w:rFonts w:hint="eastAsia" w:ascii="仿宋_GB2312" w:hAnsi="宋体" w:cs="宋体"/>
          <w:bCs/>
          <w:kern w:val="0"/>
          <w:sz w:val="24"/>
        </w:rPr>
        <w:t>表五、通航建筑物维护管理核查表</w:t>
      </w:r>
    </w:p>
    <w:tbl>
      <w:tblPr>
        <w:tblStyle w:val="6"/>
        <w:tblW w:w="14092" w:type="dxa"/>
        <w:tblInd w:w="93" w:type="dxa"/>
        <w:tblLayout w:type="autofit"/>
        <w:tblCellMar>
          <w:top w:w="0" w:type="dxa"/>
          <w:left w:w="108" w:type="dxa"/>
          <w:bottom w:w="0" w:type="dxa"/>
          <w:right w:w="108" w:type="dxa"/>
        </w:tblCellMar>
      </w:tblPr>
      <w:tblGrid>
        <w:gridCol w:w="397"/>
        <w:gridCol w:w="1058"/>
        <w:gridCol w:w="1260"/>
        <w:gridCol w:w="3600"/>
        <w:gridCol w:w="1080"/>
        <w:gridCol w:w="5040"/>
        <w:gridCol w:w="596"/>
        <w:gridCol w:w="664"/>
        <w:gridCol w:w="397"/>
      </w:tblGrid>
      <w:tr>
        <w:tblPrEx>
          <w:tblCellMar>
            <w:top w:w="0" w:type="dxa"/>
            <w:left w:w="108" w:type="dxa"/>
            <w:bottom w:w="0" w:type="dxa"/>
            <w:right w:w="108" w:type="dxa"/>
          </w:tblCellMar>
        </w:tblPrEx>
        <w:trPr>
          <w:trHeight w:val="20" w:hRule="atLeast"/>
          <w:tblHeader/>
        </w:trPr>
        <w:tc>
          <w:tcPr>
            <w:tcW w:w="397" w:type="dxa"/>
            <w:tcBorders>
              <w:top w:val="single" w:color="auto" w:sz="8" w:space="0"/>
              <w:left w:val="single" w:color="auto" w:sz="8" w:space="0"/>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序号</w:t>
            </w:r>
          </w:p>
        </w:tc>
        <w:tc>
          <w:tcPr>
            <w:tcW w:w="1058" w:type="dxa"/>
            <w:tcBorders>
              <w:top w:val="single" w:color="auto" w:sz="8" w:space="0"/>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目标</w:t>
            </w:r>
          </w:p>
        </w:tc>
        <w:tc>
          <w:tcPr>
            <w:tcW w:w="4860" w:type="dxa"/>
            <w:gridSpan w:val="2"/>
            <w:tcBorders>
              <w:top w:val="single" w:color="auto" w:sz="8" w:space="0"/>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内容</w:t>
            </w:r>
          </w:p>
        </w:tc>
        <w:tc>
          <w:tcPr>
            <w:tcW w:w="1080" w:type="dxa"/>
            <w:tcBorders>
              <w:top w:val="single" w:color="auto" w:sz="8" w:space="0"/>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标准分（100分）</w:t>
            </w:r>
          </w:p>
        </w:tc>
        <w:tc>
          <w:tcPr>
            <w:tcW w:w="5040" w:type="dxa"/>
            <w:tcBorders>
              <w:top w:val="single" w:color="auto" w:sz="8" w:space="0"/>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标准</w:t>
            </w:r>
          </w:p>
        </w:tc>
        <w:tc>
          <w:tcPr>
            <w:tcW w:w="596" w:type="dxa"/>
            <w:tcBorders>
              <w:top w:val="single" w:color="auto" w:sz="8" w:space="0"/>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自评分</w:t>
            </w:r>
          </w:p>
        </w:tc>
        <w:tc>
          <w:tcPr>
            <w:tcW w:w="664" w:type="dxa"/>
            <w:tcBorders>
              <w:top w:val="single" w:color="auto" w:sz="8" w:space="0"/>
              <w:left w:val="nil"/>
              <w:bottom w:val="single" w:color="auto" w:sz="8" w:space="0"/>
              <w:right w:val="single" w:color="auto" w:sz="8" w:space="0"/>
            </w:tcBorders>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实际得分</w:t>
            </w:r>
          </w:p>
        </w:tc>
        <w:tc>
          <w:tcPr>
            <w:tcW w:w="397" w:type="dxa"/>
            <w:tcBorders>
              <w:top w:val="single" w:color="auto" w:sz="8" w:space="0"/>
              <w:left w:val="nil"/>
              <w:bottom w:val="single" w:color="auto" w:sz="8" w:space="0"/>
              <w:right w:val="single" w:color="auto" w:sz="8"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备注</w:t>
            </w:r>
          </w:p>
        </w:tc>
      </w:tr>
      <w:tr>
        <w:tblPrEx>
          <w:tblCellMar>
            <w:top w:w="0" w:type="dxa"/>
            <w:left w:w="108" w:type="dxa"/>
            <w:bottom w:w="0" w:type="dxa"/>
            <w:right w:w="108" w:type="dxa"/>
          </w:tblCellMar>
        </w:tblPrEx>
        <w:trPr>
          <w:cantSplit/>
          <w:trHeight w:val="20" w:hRule="atLeast"/>
        </w:trPr>
        <w:tc>
          <w:tcPr>
            <w:tcW w:w="397" w:type="dxa"/>
            <w:vMerge w:val="restart"/>
            <w:tcBorders>
              <w:top w:val="nil"/>
              <w:left w:val="single" w:color="auto" w:sz="8" w:space="0"/>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一</w:t>
            </w:r>
          </w:p>
        </w:tc>
        <w:tc>
          <w:tcPr>
            <w:tcW w:w="1058" w:type="dxa"/>
            <w:vMerge w:val="restart"/>
            <w:tcBorders>
              <w:top w:val="nil"/>
              <w:left w:val="single" w:color="auto" w:sz="4" w:space="0"/>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贯彻落实《</w:t>
            </w:r>
            <w:r>
              <w:rPr>
                <w:rFonts w:hint="eastAsia" w:ascii="仿宋_GB2312" w:hAnsi="宋体" w:cs="宋体"/>
                <w:bCs/>
                <w:kern w:val="0"/>
                <w:sz w:val="18"/>
                <w:szCs w:val="18"/>
              </w:rPr>
              <w:t>通航建筑物运行</w:t>
            </w:r>
            <w:r>
              <w:rPr>
                <w:rFonts w:hint="eastAsia" w:ascii="仿宋_GB2312" w:hAnsi="宋体" w:cs="宋体"/>
                <w:kern w:val="0"/>
                <w:sz w:val="18"/>
                <w:szCs w:val="18"/>
              </w:rPr>
              <w:t>管理办法》，建立健全规章制度(</w:t>
            </w:r>
            <w:r>
              <w:rPr>
                <w:rFonts w:hint="eastAsia" w:ascii="仿宋_GB2312" w:hAnsi="宋体" w:cs="宋体"/>
                <w:bCs/>
                <w:kern w:val="0"/>
                <w:sz w:val="18"/>
                <w:szCs w:val="18"/>
              </w:rPr>
              <w:t>10</w:t>
            </w:r>
            <w:r>
              <w:rPr>
                <w:rFonts w:hint="eastAsia" w:ascii="仿宋_GB2312" w:hAnsi="宋体" w:cs="宋体"/>
                <w:kern w:val="0"/>
                <w:sz w:val="18"/>
                <w:szCs w:val="18"/>
              </w:rPr>
              <w:t>分)</w:t>
            </w: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1.执行管理办法</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领导重视，认真贯彻执行《</w:t>
            </w:r>
            <w:r>
              <w:rPr>
                <w:rFonts w:hint="eastAsia" w:ascii="仿宋_GB2312" w:hAnsi="宋体" w:cs="宋体"/>
                <w:bCs/>
                <w:kern w:val="0"/>
                <w:sz w:val="18"/>
                <w:szCs w:val="18"/>
              </w:rPr>
              <w:t>通航建筑物运行</w:t>
            </w:r>
            <w:r>
              <w:rPr>
                <w:rFonts w:hint="eastAsia" w:ascii="仿宋_GB2312" w:hAnsi="宋体" w:cs="宋体"/>
                <w:kern w:val="0"/>
                <w:sz w:val="18"/>
                <w:szCs w:val="18"/>
              </w:rPr>
              <w:t>管理办法》，确定为航运服务的宗旨</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发现未落实贯彻执行《</w:t>
            </w:r>
            <w:r>
              <w:rPr>
                <w:rFonts w:hint="eastAsia" w:ascii="仿宋_GB2312" w:hAnsi="宋体" w:cs="宋体"/>
                <w:bCs/>
                <w:kern w:val="0"/>
                <w:sz w:val="18"/>
                <w:szCs w:val="18"/>
              </w:rPr>
              <w:t>通航建筑物运行</w:t>
            </w:r>
            <w:r>
              <w:rPr>
                <w:rFonts w:hint="eastAsia" w:ascii="仿宋_GB2312" w:hAnsi="宋体" w:cs="宋体"/>
                <w:kern w:val="0"/>
                <w:sz w:val="18"/>
                <w:szCs w:val="18"/>
              </w:rPr>
              <w:t>管理办法》等有关规定的，每项扣</w:t>
            </w:r>
            <w:r>
              <w:rPr>
                <w:rFonts w:hint="eastAsia" w:ascii="仿宋_GB2312" w:hAnsi="宋体" w:cs="宋体"/>
                <w:bCs/>
                <w:kern w:val="0"/>
                <w:sz w:val="18"/>
                <w:szCs w:val="18"/>
              </w:rPr>
              <w:t>1</w:t>
            </w:r>
            <w:r>
              <w:rPr>
                <w:rFonts w:hint="eastAsia" w:ascii="仿宋_GB2312" w:hAnsi="宋体" w:cs="宋体"/>
                <w:kern w:val="0"/>
                <w:sz w:val="18"/>
                <w:szCs w:val="18"/>
              </w:rPr>
              <w:t>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2.科学管理</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科学管理，充分发挥</w:t>
            </w:r>
            <w:r>
              <w:rPr>
                <w:rFonts w:hint="eastAsia" w:ascii="仿宋_GB2312" w:hAnsi="宋体" w:cs="宋体"/>
                <w:bCs/>
                <w:kern w:val="0"/>
                <w:sz w:val="18"/>
                <w:szCs w:val="18"/>
              </w:rPr>
              <w:t>通航建筑物</w:t>
            </w:r>
            <w:r>
              <w:rPr>
                <w:rFonts w:hint="eastAsia" w:ascii="仿宋_GB2312" w:hAnsi="宋体" w:cs="宋体"/>
                <w:kern w:val="0"/>
                <w:sz w:val="18"/>
                <w:szCs w:val="18"/>
              </w:rPr>
              <w:t>的通过能力，提供安全、及时、方便的运行条件</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管理无序扣2分；未对船舶过闸提供安全、及时、方便的运行条件每项扣1分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3.、制度与规程</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建立健全各项管理规章制度和操作规程</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养护制度不健全，每少一项扣1分，各设备操作规程不健全，每少一项扣1分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4.过闸费征收与使用</w:t>
            </w:r>
          </w:p>
        </w:tc>
        <w:tc>
          <w:tcPr>
            <w:tcW w:w="3600" w:type="dxa"/>
            <w:tcBorders>
              <w:top w:val="nil"/>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过闸费的征收和使用符合国家规定，贯彻专款专用的原则</w:t>
            </w:r>
          </w:p>
        </w:tc>
        <w:tc>
          <w:tcPr>
            <w:tcW w:w="1080" w:type="dxa"/>
            <w:tcBorders>
              <w:top w:val="nil"/>
              <w:left w:val="nil"/>
              <w:bottom w:val="nil"/>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5040" w:type="dxa"/>
            <w:tcBorders>
              <w:top w:val="nil"/>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过闸费征收和使用不符合国家规定的扣2分，发现不符合专款专用的每项扣1分</w:t>
            </w:r>
          </w:p>
        </w:tc>
        <w:tc>
          <w:tcPr>
            <w:tcW w:w="596" w:type="dxa"/>
            <w:tcBorders>
              <w:top w:val="nil"/>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nil"/>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397" w:type="dxa"/>
            <w:vMerge w:val="restart"/>
            <w:tcBorders>
              <w:top w:val="single" w:color="auto" w:sz="8" w:space="0"/>
              <w:left w:val="single" w:color="auto" w:sz="8" w:space="0"/>
              <w:bottom w:val="single" w:color="000000"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二</w:t>
            </w:r>
          </w:p>
        </w:tc>
        <w:tc>
          <w:tcPr>
            <w:tcW w:w="1058" w:type="dxa"/>
            <w:vMerge w:val="restart"/>
            <w:tcBorders>
              <w:top w:val="single" w:color="auto" w:sz="8" w:space="0"/>
              <w:left w:val="single" w:color="auto" w:sz="4" w:space="0"/>
              <w:bottom w:val="single" w:color="000000"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制订并组织实施</w:t>
            </w:r>
            <w:r>
              <w:rPr>
                <w:rFonts w:hint="eastAsia" w:ascii="仿宋_GB2312" w:hAnsi="宋体" w:cs="宋体"/>
                <w:bCs/>
                <w:kern w:val="0"/>
                <w:sz w:val="18"/>
                <w:szCs w:val="18"/>
              </w:rPr>
              <w:t>通航建筑物</w:t>
            </w:r>
            <w:r>
              <w:rPr>
                <w:rFonts w:hint="eastAsia" w:ascii="仿宋_GB2312" w:hAnsi="宋体" w:cs="宋体"/>
                <w:kern w:val="0"/>
                <w:sz w:val="18"/>
                <w:szCs w:val="18"/>
              </w:rPr>
              <w:t>运行养护计划(15分)</w:t>
            </w:r>
          </w:p>
        </w:tc>
        <w:tc>
          <w:tcPr>
            <w:tcW w:w="1260" w:type="dxa"/>
            <w:tcBorders>
              <w:top w:val="single" w:color="auto" w:sz="8"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1.大修计划</w:t>
            </w:r>
          </w:p>
        </w:tc>
        <w:tc>
          <w:tcPr>
            <w:tcW w:w="3600" w:type="dxa"/>
            <w:tcBorders>
              <w:top w:val="single" w:color="auto" w:sz="8"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有</w:t>
            </w:r>
            <w:r>
              <w:rPr>
                <w:rFonts w:hint="eastAsia" w:ascii="仿宋_GB2312" w:hAnsi="宋体" w:cs="宋体"/>
                <w:bCs/>
                <w:kern w:val="0"/>
                <w:sz w:val="18"/>
                <w:szCs w:val="18"/>
              </w:rPr>
              <w:t>通航建筑物运行</w:t>
            </w:r>
            <w:r>
              <w:rPr>
                <w:rFonts w:hint="eastAsia" w:ascii="仿宋_GB2312" w:hAnsi="宋体" w:cs="宋体"/>
                <w:kern w:val="0"/>
                <w:sz w:val="18"/>
                <w:szCs w:val="18"/>
              </w:rPr>
              <w:t>单位会同相关单位编报</w:t>
            </w:r>
            <w:r>
              <w:rPr>
                <w:rFonts w:hint="eastAsia" w:ascii="仿宋_GB2312" w:hAnsi="宋体" w:cs="宋体"/>
                <w:bCs/>
                <w:kern w:val="0"/>
                <w:sz w:val="18"/>
                <w:szCs w:val="18"/>
              </w:rPr>
              <w:t>通航建筑物</w:t>
            </w:r>
            <w:r>
              <w:rPr>
                <w:rFonts w:hint="eastAsia" w:ascii="仿宋_GB2312" w:hAnsi="宋体" w:cs="宋体"/>
                <w:kern w:val="0"/>
                <w:sz w:val="18"/>
                <w:szCs w:val="18"/>
              </w:rPr>
              <w:t>大修计划,并按计划实施</w:t>
            </w:r>
          </w:p>
        </w:tc>
        <w:tc>
          <w:tcPr>
            <w:tcW w:w="1080" w:type="dxa"/>
            <w:tcBorders>
              <w:top w:val="single" w:color="auto" w:sz="8" w:space="0"/>
              <w:left w:val="nil"/>
              <w:bottom w:val="single" w:color="auto" w:sz="4" w:space="0"/>
              <w:right w:val="nil"/>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5040" w:type="dxa"/>
            <w:tcBorders>
              <w:top w:val="single" w:color="auto" w:sz="8" w:space="0"/>
              <w:left w:val="single" w:color="auto" w:sz="4" w:space="0"/>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通航建筑物运行</w:t>
            </w:r>
            <w:r>
              <w:rPr>
                <w:rFonts w:hint="eastAsia" w:ascii="仿宋_GB2312" w:hAnsi="宋体" w:cs="宋体"/>
                <w:kern w:val="0"/>
                <w:sz w:val="18"/>
                <w:szCs w:val="18"/>
              </w:rPr>
              <w:t>单位未会同有关单位编报船闸大修计划扣4分,有计划但未严格执行扣1-2分</w:t>
            </w:r>
          </w:p>
        </w:tc>
        <w:tc>
          <w:tcPr>
            <w:tcW w:w="596" w:type="dxa"/>
            <w:tcBorders>
              <w:top w:val="single" w:color="auto" w:sz="8"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single" w:color="auto" w:sz="8"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single" w:color="auto" w:sz="8" w:space="0"/>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2.岁修计划</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管理单位按规定制订</w:t>
            </w:r>
            <w:r>
              <w:rPr>
                <w:rFonts w:hint="eastAsia" w:ascii="仿宋_GB2312" w:hAnsi="宋体" w:cs="宋体"/>
                <w:bCs/>
                <w:kern w:val="0"/>
                <w:sz w:val="18"/>
                <w:szCs w:val="18"/>
              </w:rPr>
              <w:t>通航建筑物</w:t>
            </w:r>
            <w:r>
              <w:rPr>
                <w:rFonts w:hint="eastAsia" w:ascii="仿宋_GB2312" w:hAnsi="宋体" w:cs="宋体"/>
                <w:kern w:val="0"/>
                <w:sz w:val="18"/>
                <w:szCs w:val="18"/>
              </w:rPr>
              <w:t>岁修计划并组织实施</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未制定岁修计划的扣2-4分，有计划但有一项不完成或不按期完成扣1分。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3.小修保养计划</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认真制订并严格实施</w:t>
            </w:r>
            <w:r>
              <w:rPr>
                <w:rFonts w:hint="eastAsia" w:ascii="仿宋_GB2312" w:hAnsi="宋体" w:cs="宋体"/>
                <w:bCs/>
                <w:kern w:val="0"/>
                <w:sz w:val="18"/>
                <w:szCs w:val="18"/>
              </w:rPr>
              <w:t>通航建筑物</w:t>
            </w:r>
            <w:r>
              <w:rPr>
                <w:rFonts w:hint="eastAsia" w:ascii="仿宋_GB2312" w:hAnsi="宋体" w:cs="宋体"/>
                <w:kern w:val="0"/>
                <w:sz w:val="18"/>
                <w:szCs w:val="18"/>
              </w:rPr>
              <w:t>月、季度保养计划</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养护月、季度计划，每少一次扣2分；制定养护计划不合理的，每次扣1分；单位分管领导、工技股不参加检查的，每次扣1分；月度养修工作无考核检查，每月次扣0.5分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xml:space="preserve"> 4.应急预案</w:t>
            </w:r>
          </w:p>
        </w:tc>
        <w:tc>
          <w:tcPr>
            <w:tcW w:w="3600"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制订切实可行的</w:t>
            </w:r>
            <w:r>
              <w:rPr>
                <w:rFonts w:hint="eastAsia" w:ascii="仿宋_GB2312" w:hAnsi="宋体" w:cs="宋体"/>
                <w:bCs/>
                <w:kern w:val="0"/>
                <w:sz w:val="18"/>
                <w:szCs w:val="18"/>
              </w:rPr>
              <w:t>通航建筑物</w:t>
            </w:r>
            <w:r>
              <w:rPr>
                <w:rFonts w:hint="eastAsia" w:ascii="仿宋_GB2312" w:hAnsi="宋体" w:cs="宋体"/>
                <w:kern w:val="0"/>
                <w:sz w:val="18"/>
                <w:szCs w:val="18"/>
              </w:rPr>
              <w:t>应急保障预案</w:t>
            </w:r>
          </w:p>
        </w:tc>
        <w:tc>
          <w:tcPr>
            <w:tcW w:w="1080"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5040"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没有按规定制定相关应急保障预案的每少一项扣2分；制定的应急预案不切实可行的每项扣1分</w:t>
            </w:r>
          </w:p>
        </w:tc>
        <w:tc>
          <w:tcPr>
            <w:tcW w:w="596"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8"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397" w:type="dxa"/>
            <w:vMerge w:val="restart"/>
            <w:tcBorders>
              <w:top w:val="nil"/>
              <w:left w:val="single" w:color="auto" w:sz="8" w:space="0"/>
              <w:bottom w:val="single" w:color="000000"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三</w:t>
            </w:r>
          </w:p>
        </w:tc>
        <w:tc>
          <w:tcPr>
            <w:tcW w:w="1058" w:type="dxa"/>
            <w:vMerge w:val="restart"/>
            <w:tcBorders>
              <w:top w:val="nil"/>
              <w:left w:val="single" w:color="auto" w:sz="4" w:space="0"/>
              <w:bottom w:val="single" w:color="000000"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 xml:space="preserve">运行管理(30分) </w:t>
            </w: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1.通航时间保证率</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xml:space="preserve">通航时间保证率符合规范要求 </w:t>
            </w:r>
            <w:r>
              <w:rPr>
                <w:rFonts w:hint="eastAsia" w:ascii="仿宋_GB2312"/>
                <w:kern w:val="0"/>
                <w:sz w:val="18"/>
                <w:szCs w:val="18"/>
              </w:rPr>
              <w:t xml:space="preserve"> </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实得分=（实际通航时间保证率-95%）×100</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2.过闸安排</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上、下游引航道外按规范要求设置待闸区，并按规定安排船舶过闸</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上、下游引航道外未按规范要求设置待闸区扣2分，未按规定安排船舶过闸扣3分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3.助航标志</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管理区域内的航道养护、助航标志，安全标志达到该航道的等级标准</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航道养护、助航标志未达该航道标准扣2分；安全标志未达该航道标准扣2分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4.调度</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加强</w:t>
            </w:r>
            <w:r>
              <w:rPr>
                <w:rFonts w:hint="eastAsia" w:ascii="仿宋_GB2312" w:hAnsi="宋体" w:cs="宋体"/>
                <w:bCs/>
                <w:kern w:val="0"/>
                <w:sz w:val="18"/>
                <w:szCs w:val="18"/>
              </w:rPr>
              <w:t>通航建筑物</w:t>
            </w:r>
            <w:r>
              <w:rPr>
                <w:rFonts w:hint="eastAsia" w:ascii="仿宋_GB2312" w:hAnsi="宋体" w:cs="宋体"/>
                <w:kern w:val="0"/>
                <w:sz w:val="18"/>
                <w:szCs w:val="18"/>
              </w:rPr>
              <w:t>调度管理，及时发布</w:t>
            </w:r>
            <w:r>
              <w:rPr>
                <w:rFonts w:hint="eastAsia" w:ascii="仿宋_GB2312" w:hAnsi="宋体" w:cs="宋体"/>
                <w:bCs/>
                <w:kern w:val="0"/>
                <w:sz w:val="18"/>
                <w:szCs w:val="18"/>
              </w:rPr>
              <w:t>通航建筑物</w:t>
            </w:r>
            <w:r>
              <w:rPr>
                <w:rFonts w:hint="eastAsia" w:ascii="仿宋_GB2312" w:hAnsi="宋体" w:cs="宋体"/>
                <w:kern w:val="0"/>
                <w:sz w:val="18"/>
                <w:szCs w:val="18"/>
              </w:rPr>
              <w:t>运行调度计划和公告，做好</w:t>
            </w:r>
            <w:r>
              <w:rPr>
                <w:rFonts w:hint="eastAsia" w:ascii="仿宋_GB2312" w:hAnsi="宋体" w:cs="宋体"/>
                <w:bCs/>
                <w:kern w:val="0"/>
                <w:sz w:val="18"/>
                <w:szCs w:val="18"/>
              </w:rPr>
              <w:t>通航建筑物</w:t>
            </w:r>
            <w:r>
              <w:rPr>
                <w:rFonts w:hint="eastAsia" w:ascii="仿宋_GB2312" w:hAnsi="宋体" w:cs="宋体"/>
                <w:kern w:val="0"/>
                <w:sz w:val="18"/>
                <w:szCs w:val="18"/>
              </w:rPr>
              <w:t>运行记录。完成船舶过闸调度作业计划，计划完成率100%。</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未及时发布运行调度计划和公告的扣2分；船闸记录不全、缺项、字迹不清每处扣0.5分；调度作业计划每一项不完成扣1分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5.清障</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及时清理闸室、引航道、闸区等区域水上水下碍航物，保障船舶安全航行</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发现水上水下障碍物未及时清理的每处扣1分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6.消防</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按规定配备消防、救生器材和抢险工具等安全生产设施、设备</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未按规定配备的，每处扣0.5分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339" w:hRule="atLeast"/>
        </w:trPr>
        <w:tc>
          <w:tcPr>
            <w:tcW w:w="0" w:type="auto"/>
            <w:vMerge w:val="continue"/>
            <w:tcBorders>
              <w:top w:val="nil"/>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7.培训</w:t>
            </w:r>
          </w:p>
        </w:tc>
        <w:tc>
          <w:tcPr>
            <w:tcW w:w="3600"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加强对</w:t>
            </w:r>
            <w:r>
              <w:rPr>
                <w:rFonts w:hint="eastAsia" w:ascii="仿宋_GB2312" w:hAnsi="宋体" w:cs="宋体"/>
                <w:bCs/>
                <w:kern w:val="0"/>
                <w:sz w:val="18"/>
                <w:szCs w:val="18"/>
              </w:rPr>
              <w:t>通航建筑物</w:t>
            </w:r>
            <w:r>
              <w:rPr>
                <w:rFonts w:hint="eastAsia" w:ascii="仿宋_GB2312" w:hAnsi="宋体" w:cs="宋体"/>
                <w:kern w:val="0"/>
                <w:sz w:val="18"/>
                <w:szCs w:val="18"/>
              </w:rPr>
              <w:t>运行管理人员的培训考核</w:t>
            </w:r>
          </w:p>
        </w:tc>
        <w:tc>
          <w:tcPr>
            <w:tcW w:w="1080"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5040"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每年培训次数不少于相关规定，每少一次扣1分</w:t>
            </w:r>
          </w:p>
        </w:tc>
        <w:tc>
          <w:tcPr>
            <w:tcW w:w="596"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8"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397"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四</w:t>
            </w:r>
          </w:p>
        </w:tc>
        <w:tc>
          <w:tcPr>
            <w:tcW w:w="10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设备设施管理(30分)</w:t>
            </w:r>
          </w:p>
        </w:tc>
        <w:tc>
          <w:tcPr>
            <w:tcW w:w="1260"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1.备品备件</w:t>
            </w:r>
          </w:p>
        </w:tc>
        <w:tc>
          <w:tcPr>
            <w:tcW w:w="3600"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各项备品备件符合规定，满足</w:t>
            </w:r>
            <w:r>
              <w:rPr>
                <w:rFonts w:hint="eastAsia" w:ascii="仿宋_GB2312" w:hAnsi="宋体" w:cs="宋体"/>
                <w:bCs/>
                <w:kern w:val="0"/>
                <w:sz w:val="18"/>
                <w:szCs w:val="18"/>
              </w:rPr>
              <w:t>通航建筑物</w:t>
            </w:r>
            <w:r>
              <w:rPr>
                <w:rFonts w:hint="eastAsia" w:ascii="仿宋_GB2312" w:hAnsi="宋体" w:cs="宋体"/>
                <w:kern w:val="0"/>
                <w:sz w:val="18"/>
                <w:szCs w:val="18"/>
              </w:rPr>
              <w:t>运行。物料、备品备件消耗有登记、有统计;购置、进出库手续齐全,帐物相符</w:t>
            </w:r>
          </w:p>
        </w:tc>
        <w:tc>
          <w:tcPr>
            <w:tcW w:w="108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5040"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备品备件不能满足</w:t>
            </w:r>
            <w:r>
              <w:rPr>
                <w:rFonts w:hint="eastAsia" w:ascii="仿宋_GB2312" w:hAnsi="宋体" w:cs="宋体"/>
                <w:bCs/>
                <w:kern w:val="0"/>
                <w:sz w:val="18"/>
                <w:szCs w:val="18"/>
              </w:rPr>
              <w:t>通航建筑物</w:t>
            </w:r>
            <w:r>
              <w:rPr>
                <w:rFonts w:hint="eastAsia" w:ascii="仿宋_GB2312" w:hAnsi="宋体" w:cs="宋体"/>
                <w:kern w:val="0"/>
                <w:sz w:val="18"/>
                <w:szCs w:val="18"/>
              </w:rPr>
              <w:t>运行需要的扣1-3分；登记、统计不全扣0.5分；购置、进出库手续不全的扣0.5分；帐物不相符的扣0.5分</w:t>
            </w:r>
          </w:p>
        </w:tc>
        <w:tc>
          <w:tcPr>
            <w:tcW w:w="59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single" w:color="auto" w:sz="4" w:space="0"/>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2.设备完好</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主要运行设备完好率100%</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主要设备完好率小于</w:t>
            </w:r>
            <w:r>
              <w:rPr>
                <w:rFonts w:hint="eastAsia" w:ascii="仿宋_GB2312"/>
                <w:kern w:val="0"/>
                <w:sz w:val="18"/>
                <w:szCs w:val="18"/>
              </w:rPr>
              <w:t>90%</w:t>
            </w:r>
            <w:r>
              <w:rPr>
                <w:rFonts w:hint="eastAsia" w:ascii="仿宋_GB2312" w:hAnsi="宋体" w:cs="宋体"/>
                <w:kern w:val="0"/>
                <w:sz w:val="18"/>
                <w:szCs w:val="18"/>
              </w:rPr>
              <w:t>（年平均）的，不得分；完好率90-100%之间的，实得分=标准分×（实际完好率-90%）×10</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337" w:hRule="atLeast"/>
        </w:trPr>
        <w:tc>
          <w:tcPr>
            <w:tcW w:w="0" w:type="auto"/>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土建、水工建筑物及导航设施正常</w:t>
            </w:r>
          </w:p>
        </w:tc>
        <w:tc>
          <w:tcPr>
            <w:tcW w:w="1080" w:type="dxa"/>
            <w:tcBorders>
              <w:top w:val="nil"/>
              <w:left w:val="nil"/>
              <w:bottom w:val="nil"/>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5040" w:type="dxa"/>
            <w:tcBorders>
              <w:top w:val="nil"/>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土建、水工建筑物及导航设施发现损坏的，每处扣1分</w:t>
            </w:r>
          </w:p>
        </w:tc>
        <w:tc>
          <w:tcPr>
            <w:tcW w:w="596" w:type="dxa"/>
            <w:tcBorders>
              <w:top w:val="nil"/>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nil"/>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single" w:color="auto" w:sz="4" w:space="0"/>
              <w:left w:val="nil"/>
              <w:bottom w:val="single" w:color="auto" w:sz="4" w:space="0"/>
              <w:right w:val="nil"/>
            </w:tcBorders>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3.船闸设备故障</w:t>
            </w:r>
          </w:p>
        </w:tc>
        <w:tc>
          <w:tcPr>
            <w:tcW w:w="3600" w:type="dxa"/>
            <w:tcBorders>
              <w:top w:val="nil"/>
              <w:left w:val="single" w:color="auto" w:sz="4" w:space="0"/>
              <w:bottom w:val="single" w:color="auto" w:sz="4" w:space="0"/>
              <w:right w:val="nil"/>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单级</w:t>
            </w:r>
            <w:r>
              <w:rPr>
                <w:rFonts w:hint="eastAsia" w:ascii="仿宋_GB2312" w:hAnsi="宋体" w:cs="宋体"/>
                <w:bCs/>
                <w:kern w:val="0"/>
                <w:sz w:val="18"/>
                <w:szCs w:val="18"/>
              </w:rPr>
              <w:t>通航建筑物</w:t>
            </w:r>
            <w:r>
              <w:rPr>
                <w:rFonts w:hint="eastAsia" w:ascii="仿宋_GB2312" w:hAnsi="宋体" w:cs="宋体"/>
                <w:kern w:val="0"/>
                <w:sz w:val="18"/>
                <w:szCs w:val="18"/>
              </w:rPr>
              <w:t>运行设备故障碍航率不高于</w:t>
            </w:r>
            <w:r>
              <w:rPr>
                <w:rFonts w:hint="eastAsia" w:ascii="仿宋_GB2312"/>
                <w:kern w:val="0"/>
                <w:sz w:val="18"/>
                <w:szCs w:val="18"/>
              </w:rPr>
              <w:t>0.2%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5040"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船闸设备故障碍航率≥0.2%的，不得分，&lt;0.2%的，实得分=标准分×(0.2%—故障碍航率)×500；单次超过1小时的，每次扣1分</w:t>
            </w:r>
          </w:p>
        </w:tc>
        <w:tc>
          <w:tcPr>
            <w:tcW w:w="59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single" w:color="auto" w:sz="4" w:space="0"/>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single" w:color="auto" w:sz="4" w:space="0"/>
              <w:left w:val="nil"/>
              <w:bottom w:val="nil"/>
              <w:right w:val="nil"/>
            </w:tcBorders>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4.设备安全防护装置</w:t>
            </w:r>
          </w:p>
        </w:tc>
        <w:tc>
          <w:tcPr>
            <w:tcW w:w="3600" w:type="dxa"/>
            <w:tcBorders>
              <w:top w:val="nil"/>
              <w:left w:val="single" w:color="auto" w:sz="4" w:space="0"/>
              <w:bottom w:val="nil"/>
              <w:right w:val="nil"/>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设备设施安全防护装置齐全可靠，安全保护装置按期校验；无安全事故发生或无安全隐患。防火器材齐全有效，无火灾隐患</w:t>
            </w:r>
          </w:p>
        </w:tc>
        <w:tc>
          <w:tcPr>
            <w:tcW w:w="1080"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5040" w:type="dxa"/>
            <w:tcBorders>
              <w:top w:val="nil"/>
              <w:left w:val="nil"/>
              <w:bottom w:val="single" w:color="auto" w:sz="4" w:space="0"/>
              <w:right w:val="single" w:color="auto" w:sz="4" w:space="0"/>
            </w:tcBorders>
            <w:noWrap w:val="0"/>
            <w:vAlign w:val="center"/>
          </w:tcPr>
          <w:p>
            <w:pPr>
              <w:widowControl/>
              <w:snapToGrid w:val="0"/>
              <w:rPr>
                <w:rFonts w:ascii="仿宋_GB2312"/>
                <w:kern w:val="0"/>
                <w:sz w:val="18"/>
                <w:szCs w:val="18"/>
              </w:rPr>
            </w:pPr>
            <w:r>
              <w:rPr>
                <w:rFonts w:hint="eastAsia" w:ascii="仿宋_GB2312" w:hAnsi="宋体"/>
                <w:kern w:val="0"/>
                <w:sz w:val="18"/>
                <w:szCs w:val="18"/>
              </w:rPr>
              <w:t>设备安全防护装置不可靠的扣1分，安全保护装置未按期校验的扣1分，发现安全隐患的每处扣1分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single" w:color="auto" w:sz="4" w:space="0"/>
              <w:left w:val="nil"/>
              <w:bottom w:val="nil"/>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5.其他</w:t>
            </w:r>
          </w:p>
        </w:tc>
        <w:tc>
          <w:tcPr>
            <w:tcW w:w="3600" w:type="dxa"/>
            <w:tcBorders>
              <w:top w:val="single" w:color="auto" w:sz="4" w:space="0"/>
              <w:left w:val="nil"/>
              <w:bottom w:val="single" w:color="000000" w:sz="8" w:space="0"/>
              <w:right w:val="nil"/>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闸区卫生、绿化环境良好</w:t>
            </w:r>
          </w:p>
        </w:tc>
        <w:tc>
          <w:tcPr>
            <w:tcW w:w="1080" w:type="dxa"/>
            <w:tcBorders>
              <w:top w:val="nil"/>
              <w:left w:val="single" w:color="auto" w:sz="4" w:space="0"/>
              <w:bottom w:val="single" w:color="000000"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5040" w:type="dxa"/>
            <w:tcBorders>
              <w:top w:val="nil"/>
              <w:left w:val="nil"/>
              <w:bottom w:val="single" w:color="000000"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未能保持闸站区绿化环境基本整洁，每次扣2分；绿化未能进行及时修剪，有杂乱等现象的，每次扣1分；闸区环境不整洁的每处扣0.5分</w:t>
            </w:r>
          </w:p>
        </w:tc>
        <w:tc>
          <w:tcPr>
            <w:tcW w:w="596" w:type="dxa"/>
            <w:tcBorders>
              <w:top w:val="nil"/>
              <w:left w:val="nil"/>
              <w:bottom w:val="single" w:color="000000"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000000"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000000" w:sz="8"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397" w:type="dxa"/>
            <w:vMerge w:val="restart"/>
            <w:tcBorders>
              <w:top w:val="single" w:color="auto" w:sz="8" w:space="0"/>
              <w:left w:val="single" w:color="auto" w:sz="8" w:space="0"/>
              <w:bottom w:val="single" w:color="000000"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五</w:t>
            </w:r>
          </w:p>
        </w:tc>
        <w:tc>
          <w:tcPr>
            <w:tcW w:w="1058" w:type="dxa"/>
            <w:vMerge w:val="restart"/>
            <w:tcBorders>
              <w:top w:val="single" w:color="auto" w:sz="8" w:space="0"/>
              <w:left w:val="single" w:color="auto" w:sz="4" w:space="0"/>
              <w:bottom w:val="single" w:color="000000"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资料及档案管理(15分)</w:t>
            </w:r>
          </w:p>
        </w:tc>
        <w:tc>
          <w:tcPr>
            <w:tcW w:w="1260" w:type="dxa"/>
            <w:tcBorders>
              <w:top w:val="single" w:color="auto" w:sz="8" w:space="0"/>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1.工程资料</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勘测、设计、施工、竣工资料完好、齐备</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相关资料每缺少一项的扣0.5分，资料不完整扣2分、不规范扣1分、不真实扣3分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2.维修资料</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大修、岁修设计、施工资料完好、齐全</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相关资料每缺少一项的扣0.5分，资料不完整扣2分、不规范扣1分、不真实扣3分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3.监测资料</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安全监测技术资料完整规范</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相关资料缺每少一项的扣0.5分，资料不完整扣2分、不规范的扣1分、不真实扣3分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4.日常</w:t>
            </w:r>
            <w:r>
              <w:rPr>
                <w:rFonts w:hint="eastAsia" w:ascii="仿宋_GB2312" w:hAnsi="宋体" w:cs="宋体"/>
                <w:bCs/>
                <w:kern w:val="0"/>
                <w:sz w:val="18"/>
                <w:szCs w:val="18"/>
              </w:rPr>
              <w:t>台账</w:t>
            </w:r>
          </w:p>
        </w:tc>
        <w:tc>
          <w:tcPr>
            <w:tcW w:w="360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日常运行、维护</w:t>
            </w:r>
            <w:r>
              <w:rPr>
                <w:rFonts w:hint="eastAsia" w:ascii="仿宋_GB2312" w:hAnsi="宋体" w:cs="宋体"/>
                <w:bCs/>
                <w:kern w:val="0"/>
                <w:sz w:val="18"/>
                <w:szCs w:val="18"/>
              </w:rPr>
              <w:t>台账</w:t>
            </w:r>
            <w:r>
              <w:rPr>
                <w:rFonts w:hint="eastAsia" w:ascii="仿宋_GB2312" w:hAnsi="宋体" w:cs="宋体"/>
                <w:kern w:val="0"/>
                <w:sz w:val="18"/>
                <w:szCs w:val="18"/>
              </w:rPr>
              <w:t>规范、齐全</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5040"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bCs/>
                <w:kern w:val="0"/>
                <w:sz w:val="18"/>
                <w:szCs w:val="18"/>
              </w:rPr>
              <w:t>通航建筑物</w:t>
            </w:r>
            <w:r>
              <w:rPr>
                <w:rFonts w:hint="eastAsia" w:ascii="仿宋_GB2312" w:hAnsi="宋体" w:cs="宋体"/>
                <w:kern w:val="0"/>
                <w:sz w:val="18"/>
                <w:szCs w:val="18"/>
              </w:rPr>
              <w:t>日常运行、维护</w:t>
            </w:r>
            <w:r>
              <w:rPr>
                <w:rFonts w:hint="eastAsia" w:ascii="仿宋_GB2312" w:hAnsi="宋体" w:cs="宋体"/>
                <w:bCs/>
                <w:kern w:val="0"/>
                <w:sz w:val="18"/>
                <w:szCs w:val="18"/>
              </w:rPr>
              <w:t>台账</w:t>
            </w:r>
            <w:r>
              <w:rPr>
                <w:rFonts w:hint="eastAsia" w:ascii="仿宋_GB2312" w:hAnsi="宋体" w:cs="宋体"/>
                <w:kern w:val="0"/>
                <w:sz w:val="18"/>
                <w:szCs w:val="18"/>
              </w:rPr>
              <w:t>每缺少一项的扣1分，记录不规范、不完整的每处扣0.5分，不真实扣3分</w:t>
            </w:r>
          </w:p>
        </w:tc>
        <w:tc>
          <w:tcPr>
            <w:tcW w:w="596"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4"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CellMar>
            <w:top w:w="0" w:type="dxa"/>
            <w:left w:w="108" w:type="dxa"/>
            <w:bottom w:w="0" w:type="dxa"/>
            <w:right w:w="108" w:type="dxa"/>
          </w:tblCellMar>
        </w:tblPrEx>
        <w:trPr>
          <w:cantSplit/>
          <w:trHeight w:val="525" w:hRule="atLeast"/>
        </w:trPr>
        <w:tc>
          <w:tcPr>
            <w:tcW w:w="0" w:type="auto"/>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0" w:type="auto"/>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仿宋_GB2312" w:hAnsi="宋体" w:cs="宋体"/>
                <w:kern w:val="0"/>
                <w:sz w:val="18"/>
                <w:szCs w:val="18"/>
              </w:rPr>
            </w:pPr>
          </w:p>
        </w:tc>
        <w:tc>
          <w:tcPr>
            <w:tcW w:w="1260"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5.统计资料</w:t>
            </w:r>
          </w:p>
        </w:tc>
        <w:tc>
          <w:tcPr>
            <w:tcW w:w="3600"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按时报道</w:t>
            </w:r>
            <w:r>
              <w:rPr>
                <w:rFonts w:hint="eastAsia" w:ascii="仿宋_GB2312" w:hAnsi="宋体" w:cs="宋体"/>
                <w:bCs/>
                <w:kern w:val="0"/>
                <w:sz w:val="18"/>
                <w:szCs w:val="18"/>
              </w:rPr>
              <w:t>通航建筑物</w:t>
            </w:r>
            <w:r>
              <w:rPr>
                <w:rFonts w:hint="eastAsia" w:ascii="仿宋_GB2312" w:hAnsi="宋体" w:cs="宋体"/>
                <w:kern w:val="0"/>
                <w:sz w:val="18"/>
                <w:szCs w:val="18"/>
              </w:rPr>
              <w:t>各项统计资料报表</w:t>
            </w:r>
          </w:p>
        </w:tc>
        <w:tc>
          <w:tcPr>
            <w:tcW w:w="1080" w:type="dxa"/>
            <w:tcBorders>
              <w:top w:val="nil"/>
              <w:left w:val="nil"/>
              <w:bottom w:val="single" w:color="auto" w:sz="8" w:space="0"/>
              <w:right w:val="single" w:color="auto" w:sz="4" w:space="0"/>
            </w:tcBorders>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5040"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相关报表未上报的扣2分，上报不及时的每次扣1分</w:t>
            </w:r>
          </w:p>
        </w:tc>
        <w:tc>
          <w:tcPr>
            <w:tcW w:w="596"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664" w:type="dxa"/>
            <w:tcBorders>
              <w:top w:val="nil"/>
              <w:left w:val="nil"/>
              <w:bottom w:val="single" w:color="auto" w:sz="8" w:space="0"/>
              <w:right w:val="single" w:color="auto" w:sz="4"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397" w:type="dxa"/>
            <w:tcBorders>
              <w:top w:val="nil"/>
              <w:left w:val="single" w:color="auto" w:sz="4" w:space="0"/>
              <w:bottom w:val="single" w:color="auto" w:sz="8" w:space="0"/>
              <w:right w:val="single" w:color="auto" w:sz="8" w:space="0"/>
            </w:tcBorders>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bl>
    <w:p>
      <w:pPr>
        <w:snapToGrid w:val="0"/>
        <w:ind w:firstLine="600"/>
        <w:rPr>
          <w:rFonts w:ascii="宋体" w:hAnsi="宋体"/>
          <w:sz w:val="30"/>
          <w:szCs w:val="30"/>
        </w:rPr>
      </w:pPr>
    </w:p>
    <w:p>
      <w:pPr>
        <w:widowControl/>
        <w:snapToGrid w:val="0"/>
        <w:ind w:firstLine="480"/>
        <w:jc w:val="center"/>
        <w:rPr>
          <w:rFonts w:ascii="仿宋_GB2312" w:hAnsi="宋体" w:cs="宋体"/>
          <w:bCs/>
          <w:kern w:val="0"/>
          <w:sz w:val="24"/>
        </w:rPr>
        <w:sectPr>
          <w:pgSz w:w="16838" w:h="11906" w:orient="landscape"/>
          <w:pgMar w:top="1440" w:right="1440" w:bottom="1440" w:left="1440" w:header="851" w:footer="992" w:gutter="0"/>
          <w:pgNumType w:fmt="numberInDash"/>
          <w:cols w:space="720" w:num="1"/>
          <w:docGrid w:type="lines" w:linePitch="312" w:charSpace="0"/>
        </w:sectPr>
      </w:pPr>
    </w:p>
    <w:p>
      <w:pPr>
        <w:widowControl/>
        <w:snapToGrid w:val="0"/>
        <w:jc w:val="center"/>
        <w:rPr>
          <w:rFonts w:ascii="仿宋_GB2312" w:hAnsi="宋体" w:cs="宋体"/>
          <w:kern w:val="0"/>
          <w:sz w:val="24"/>
        </w:rPr>
      </w:pPr>
      <w:r>
        <w:rPr>
          <w:rFonts w:hint="eastAsia" w:ascii="仿宋_GB2312" w:hAnsi="宋体" w:cs="宋体"/>
          <w:bCs/>
          <w:kern w:val="0"/>
          <w:sz w:val="24"/>
        </w:rPr>
        <w:t>表六、航运枢纽核查表</w:t>
      </w:r>
    </w:p>
    <w:tbl>
      <w:tblPr>
        <w:tblStyle w:val="6"/>
        <w:tblW w:w="142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720"/>
        <w:gridCol w:w="900"/>
        <w:gridCol w:w="5220"/>
        <w:gridCol w:w="1080"/>
        <w:gridCol w:w="4320"/>
        <w:gridCol w:w="54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blHeader/>
        </w:trPr>
        <w:tc>
          <w:tcPr>
            <w:tcW w:w="375"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序号</w:t>
            </w:r>
          </w:p>
        </w:tc>
        <w:tc>
          <w:tcPr>
            <w:tcW w:w="720" w:type="dxa"/>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项目</w:t>
            </w:r>
          </w:p>
        </w:tc>
        <w:tc>
          <w:tcPr>
            <w:tcW w:w="6120" w:type="dxa"/>
            <w:gridSpan w:val="2"/>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内容</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标准分（100分）</w:t>
            </w:r>
          </w:p>
        </w:tc>
        <w:tc>
          <w:tcPr>
            <w:tcW w:w="4320" w:type="dxa"/>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标准</w:t>
            </w:r>
          </w:p>
        </w:tc>
        <w:tc>
          <w:tcPr>
            <w:tcW w:w="54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自评分</w:t>
            </w:r>
          </w:p>
        </w:tc>
        <w:tc>
          <w:tcPr>
            <w:tcW w:w="540" w:type="dxa"/>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实际得分</w:t>
            </w:r>
          </w:p>
        </w:tc>
        <w:tc>
          <w:tcPr>
            <w:tcW w:w="54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restart"/>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一</w:t>
            </w:r>
          </w:p>
        </w:tc>
        <w:tc>
          <w:tcPr>
            <w:tcW w:w="720"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建立健全规章制度（15分）</w:t>
            </w: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1.组织机构</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设置管理部门、运行机构，有水文预报、机电检修、水工观测、抢险队伍，并且各机构职责、各岗位责任明确</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未设置管理部门、运行机构扣2分；缺少水文预报、机电检修、水工观测、抢险队伍，每项扣1分；未明确各机构职责扣1分；未明确岗位责任扣1分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2.管理制度</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建立健全枢纽大坝管理的各项规章制度包括运行值班制度、水工观测规程、水工建筑物维护检修规程、水工机电设备运行检修规程、水库调度管理规程、大坝安全管理制度、防洪度汛制度及汛情灾情报告制度、现场检查工作制度、人员上岗培训制度等</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3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每缺一项规程或制度扣1分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3.检查考核</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枢纽管理部门每季度和年度对大坝运行机构、水文预报、机电检修、水工观测等工作进行检查，每半年组织一次设备评级，发现问题，制定整改措施和整改计划；每年进行年度考核</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缺少一次检查、考核扣1分；缺少一次设备评级扣1分；发现问题，无整改措施和整改计划扣2分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4.资金保证</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制定年度资金使用计划，并按计划专款专用；人员工资、大坝及设备养护维修改造的费用、水文信息费用、防洪资金、应急管理等费用得到落实</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无年度资金使用计划扣1分；违反专款专用原则扣1分；人员工资、大坝及设备维护费用、水文信息费用、防洪资金、应急管理资金等费用不落实的，每项扣1分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375"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二</w:t>
            </w:r>
          </w:p>
        </w:tc>
        <w:tc>
          <w:tcPr>
            <w:tcW w:w="720"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运行管理</w:t>
            </w:r>
            <w:r>
              <w:rPr>
                <w:rFonts w:hint="eastAsia" w:ascii="仿宋_GB2312" w:hAnsi="宋体" w:cs="宋体"/>
                <w:kern w:val="0"/>
                <w:sz w:val="18"/>
                <w:szCs w:val="18"/>
              </w:rPr>
              <w:br w:type="textWrapping"/>
            </w:r>
            <w:r>
              <w:rPr>
                <w:rFonts w:hint="eastAsia" w:ascii="仿宋_GB2312" w:hAnsi="宋体" w:cs="宋体"/>
                <w:kern w:val="0"/>
                <w:sz w:val="18"/>
                <w:szCs w:val="18"/>
              </w:rPr>
              <w:t>（30分）</w:t>
            </w: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1.年度计划</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制订年度大坝监测、养护计划</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无年度大坝监测、养护计划各扣1分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2.制度落实</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落实值班制度，有值班、巡查记录；落实水库水位调度方案</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8分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无值班、巡查记录扣3分；人为原因造成水位调度不能满足通航要求，导致不能通航的，扣8分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3.防汛工作</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执行设计防洪标准内的洪水调度方案（包括汛限水位、调洪水位、下泄流量、闸门开启顺序等）；执行超标准洪水的防洪调度预案（包括洪水调度方案、工程措施、组织措施、物资贮备及运输方案、人员转移方案等）；泄洪闸门有可靠的备用电源；执行水文气象预报方案；执行防御局地暴雨、支沟洪水、泥石流、滑坡，以及漂浮物撞击大坝等灾害措施；执行防御水淹厂房的措施</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不执行设计防洪标准内的洪水调度方案扣2分；无超标准洪水的防洪调度预案扣1分；泄洪闸门无备用电源或备用电源不可靠扣2分；不执行防御局地暴雨、支沟洪水、泥石流、滑坡，以及漂浮物撞击大坝等灾害措施扣2分；不执行防御水淹厂房的措施扣2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4.科学调度保障通航</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执行梯级水电站水库调度方案，并保证通航条件；水量调度要保证上游最低通航水位，下泄流量要考虑到防止下游水位大起大落</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不执行梯级水电站水库调度方案，导致不能保证通航条件的，扣3分；人为原因使下游水位大起大落，影响下游航道通航条件的，扣3分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5.应急管理</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制订应急预案，定期组织演习和修订</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无应急预案扣2分；应急预案无演习扣1分；应急预案无定期修订扣1分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6.保护范围明确</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坝区应划定管理和保护范围，并树立明显标志，兼做公路的坝顶，应设路标和限荷标示牌，并采取相应的安全防护措施；制定安全保卫制度，设置保卫人员，防止暴力和恶意破坏坝区设施及擅自操作各种水工机电设施</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没有明确管理和保护范围扣1分；管理和保护范围无安全防护措施扣1分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7.记录齐全</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大坝运行管理的各类记录，真实、齐全</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记录不完整扣2分、不规范扣1分、不真实扣3分</w:t>
            </w:r>
          </w:p>
        </w:tc>
        <w:tc>
          <w:tcPr>
            <w:tcW w:w="540" w:type="dxa"/>
            <w:noWrap/>
            <w:vAlign w:val="center"/>
          </w:tcPr>
          <w:p>
            <w:pPr>
              <w:widowControl/>
              <w:snapToGrid w:val="0"/>
              <w:jc w:val="left"/>
              <w:rPr>
                <w:rFonts w:ascii="仿宋_GB2312" w:hAnsi="宋体" w:cs="宋体"/>
                <w:kern w:val="0"/>
                <w:sz w:val="18"/>
                <w:szCs w:val="18"/>
              </w:rPr>
            </w:pPr>
          </w:p>
        </w:tc>
        <w:tc>
          <w:tcPr>
            <w:tcW w:w="540" w:type="dxa"/>
            <w:noWrap/>
            <w:vAlign w:val="center"/>
          </w:tcPr>
          <w:p>
            <w:pPr>
              <w:widowControl/>
              <w:snapToGrid w:val="0"/>
              <w:jc w:val="left"/>
              <w:rPr>
                <w:rFonts w:ascii="仿宋_GB2312" w:hAnsi="宋体" w:cs="宋体"/>
                <w:kern w:val="0"/>
                <w:sz w:val="18"/>
                <w:szCs w:val="18"/>
              </w:rPr>
            </w:pPr>
          </w:p>
        </w:tc>
        <w:tc>
          <w:tcPr>
            <w:tcW w:w="540" w:type="dxa"/>
            <w:noWrap/>
            <w:vAlign w:val="center"/>
          </w:tcPr>
          <w:p>
            <w:pPr>
              <w:widowControl/>
              <w:snapToGrid w:val="0"/>
              <w:jc w:val="left"/>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三</w:t>
            </w:r>
          </w:p>
        </w:tc>
        <w:tc>
          <w:tcPr>
            <w:tcW w:w="720"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机电设备养护（25分）</w:t>
            </w: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1.落实计划</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完成年度养护计划</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7分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人为原因造成年度养护计划不完成或不按期完成的，每项扣1分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2.设备检查及养护</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完成日常大坝设施、机电设备巡查及保养；完成泄洪设施维护与保养运行工作检查；完成水文气象观测设备、报汛、通信设施维护及调试工作检查；完成汛前机电设备检修工作；泄洪设备、设施及时进行防护处理，金属结构有完善的防腐蚀措施，表面清洁无锈。出现影响安全运行的缺陷，应及时制定维修计划，并于进入主汛期之前完成</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10分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日常巡查：正常运行期，大坝及设备，每月不少于一次；汛期和特殊情况，每天至少检查一次，每少一次扣1分；未完成泄洪设施维护与保养工作，扣1分；未完成水文气象观测设备、报汛、通信设施维护及调试工作，扣1分；未完成汛前机电设备检修工作，扣3分；泄洪设备、设施不及时进行防护处理，金属结构没有完善的防腐蚀措施，扣3分。出现影响安全运行的缺陷不及时制定维修计划，主汛期之前未完成整改，扣5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3.缺陷处理</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执行设备缺陷登记制度；大坝设施、机电设备、水文气象观测设备、报汛、通信设施出现缺陷及时消缺或制订消缺计划</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未执行设备缺陷登记制度，扣1分；大坝设施、机电设备、水文气象观测设备、报汛、通信设施存在缺陷每项扣1分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4.设备完好</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大坝主设备完好率100%</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水工闸门及启闭设备启闭灵活，无重大缺陷，有重大缺陷扣3分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四</w:t>
            </w:r>
          </w:p>
        </w:tc>
        <w:tc>
          <w:tcPr>
            <w:tcW w:w="720" w:type="dxa"/>
            <w:vMerge w:val="restart"/>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水工建筑物的观测检查及养护   （20分）</w:t>
            </w: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1.落实观测制度</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年度详查：每年汛前、汛后或枯水期（冰冻期），对大坝进行详细检查，提出年度详查报告；按规范及设计要求，大坝监测项目齐全，按时完成各项监测任务；各项监测精度达到规范要求，观测记录规范化，记录表格整齐清楚；定期对监测设施进行检查、校正，并做好记录；监测设施完好率达95%以上，测量仪器、仪表完好率100%；落实水库上下游调查工作，掌握坍岸、滑坡及其它不利于水库运行的情况，并采取相应措施，有重大问题的及时报上级主管单位；大坝定期进行现场检查（表面混凝土裂缝、渗漏、冻融、坝基坝肩及边坡稳定、下游冲刷变化情况等）；坝前泥沙淤积和坝体、坝基、下游岸坡等水工建筑物冲刷情况，应定期监测，及时排淤或清淤和修复</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有一个项目未按期观测一次扣1分；一项观测精度未达到要求扣1分；记录不规范扣0.5分；设施完好率每低一个百分点扣0.5分；主要仪器完好率每低一个百分点扣0.5分；坝前泥沙淤积和坝体、坝基、下游岸坡等水工建筑物冲刷情况，未定期监测，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2.观测结果分析评价</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每次观测后，应立即检查原始数据，并进行整理。每月应对观测成果进行简要分析，建立完善监测成果档案。每年应进行观测资料整编，并进行分析，次年2月底以前提出年度整编分析报告。大坝出现异常险情状态时，及时进行观测资料系统分析，并提出监测分析报告</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缺少月度整理分析或档案未完善，扣1分；无年度整编扣2分；报告延期扣1分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3.养护</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在运行过程中，应对大坝及附属设施进行经常性的养护、维修；坝面及其他表面排水设施完整、排水通畅，清洁整齐，无积水、散落物、杂草、垃圾和乱堆杂物；过水面光滑、平整。各类止水设施完好无损，渗水、渗漏不超允许范围；坝前泥沙淤积及时排淤、清淤；坝体、坝基、下游岸坡等水工建筑物冲刷损坏及时修复</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8分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坝面、坝顶路面排水不畅扣1分；坝面有散落物、杂草、垃圾和乱堆杂物，扣1 分；过水面不光滑、不平整，扣1分；各类止水设施有损坏，渗水、渗漏量超过允许范围，扣1分；坝前泥沙淤积未及时排淤、清淤，扣1分；坝体、坝基、下游岸坡等水工建筑物冲刷损坏未及时修复，扣2分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90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4.缺陷处理</w:t>
            </w:r>
          </w:p>
        </w:tc>
        <w:tc>
          <w:tcPr>
            <w:tcW w:w="52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执行缺陷登记制度；大坝水工建筑物出现影响安全运行的缺陷，应及时制定维修计划，并于进入主汛期之前完成</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未执行缺陷登记制度，扣1分；大坝水工建筑物出现影响安全运行的缺陷，未及时修复或制定维修计划的，扣3分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75"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五</w:t>
            </w:r>
          </w:p>
        </w:tc>
        <w:tc>
          <w:tcPr>
            <w:tcW w:w="720" w:type="dxa"/>
            <w:vMerge w:val="restart"/>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资料及档案管理（10分）</w:t>
            </w:r>
          </w:p>
        </w:tc>
        <w:tc>
          <w:tcPr>
            <w:tcW w:w="6120" w:type="dxa"/>
            <w:gridSpan w:val="2"/>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1.有完好、齐全的大坝勘测、设计、施工竣工资料</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3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大坝勘测、设计、施工竣工资料不完整的，每项扣1分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6120" w:type="dxa"/>
            <w:gridSpan w:val="2"/>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2.每年应有完整的大坝安全监测技术资料</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3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资料不完整扣1分、不规范扣1分、不真实扣2分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6120" w:type="dxa"/>
            <w:gridSpan w:val="2"/>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3.每年应有完整的大坝运行、维护、大修技术资料</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3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资料不完整扣1分、不规范扣1分、不真实扣2分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6120" w:type="dxa"/>
            <w:gridSpan w:val="2"/>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4.每一项维修加固工程结束后，应有完整的维修方案、施工、竣工资料</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3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资料不完整扣1分、不规范扣1分、不真实扣2分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375" w:type="dxa"/>
            <w:vMerge w:val="continue"/>
            <w:noWrap w:val="0"/>
            <w:vAlign w:val="center"/>
          </w:tcPr>
          <w:p>
            <w:pPr>
              <w:widowControl/>
              <w:jc w:val="left"/>
              <w:rPr>
                <w:rFonts w:ascii="仿宋_GB2312" w:hAnsi="宋体" w:cs="宋体"/>
                <w:kern w:val="0"/>
                <w:sz w:val="18"/>
                <w:szCs w:val="18"/>
              </w:rPr>
            </w:pPr>
          </w:p>
        </w:tc>
        <w:tc>
          <w:tcPr>
            <w:tcW w:w="720" w:type="dxa"/>
            <w:vMerge w:val="continue"/>
            <w:noWrap w:val="0"/>
            <w:vAlign w:val="center"/>
          </w:tcPr>
          <w:p>
            <w:pPr>
              <w:widowControl/>
              <w:jc w:val="left"/>
              <w:rPr>
                <w:rFonts w:ascii="仿宋_GB2312" w:hAnsi="宋体" w:cs="宋体"/>
                <w:kern w:val="0"/>
                <w:sz w:val="18"/>
                <w:szCs w:val="18"/>
              </w:rPr>
            </w:pPr>
          </w:p>
        </w:tc>
        <w:tc>
          <w:tcPr>
            <w:tcW w:w="6120" w:type="dxa"/>
            <w:gridSpan w:val="2"/>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5.技术资料，应及时归档存放，并由专人保管</w:t>
            </w:r>
          </w:p>
        </w:tc>
        <w:tc>
          <w:tcPr>
            <w:tcW w:w="108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3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技术资料未归档、无专人保管各扣1分</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bl>
    <w:p>
      <w:pPr>
        <w:widowControl/>
        <w:ind w:firstLine="360"/>
        <w:jc w:val="left"/>
        <w:rPr>
          <w:rFonts w:ascii="宋体" w:hAnsi="宋体"/>
          <w:sz w:val="18"/>
          <w:szCs w:val="18"/>
        </w:rPr>
        <w:sectPr>
          <w:pgSz w:w="16838" w:h="11906" w:orient="landscape"/>
          <w:pgMar w:top="1440" w:right="1440" w:bottom="1440" w:left="1440" w:header="851" w:footer="992" w:gutter="0"/>
          <w:pgNumType w:fmt="numberInDash"/>
          <w:cols w:space="720" w:num="1"/>
          <w:docGrid w:type="lines" w:linePitch="312" w:charSpace="0"/>
        </w:sectPr>
      </w:pPr>
    </w:p>
    <w:p>
      <w:pPr>
        <w:widowControl/>
        <w:snapToGrid w:val="0"/>
        <w:jc w:val="center"/>
        <w:rPr>
          <w:rFonts w:ascii="仿宋_GB2312" w:hAnsi="宋体" w:cs="宋体"/>
          <w:kern w:val="0"/>
          <w:sz w:val="24"/>
        </w:rPr>
      </w:pPr>
      <w:r>
        <w:rPr>
          <w:rFonts w:hint="eastAsia" w:ascii="仿宋_GB2312" w:hAnsi="宋体" w:cs="宋体"/>
          <w:bCs/>
          <w:kern w:val="0"/>
          <w:sz w:val="24"/>
        </w:rPr>
        <w:t>表七、船艇维护核查表</w:t>
      </w:r>
    </w:p>
    <w:tbl>
      <w:tblPr>
        <w:tblStyle w:val="6"/>
        <w:tblW w:w="1418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1058"/>
        <w:gridCol w:w="5040"/>
        <w:gridCol w:w="1080"/>
        <w:gridCol w:w="4041"/>
        <w:gridCol w:w="875"/>
        <w:gridCol w:w="939"/>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7" w:type="dxa"/>
            <w:noWrap w:val="0"/>
            <w:vAlign w:val="center"/>
          </w:tcPr>
          <w:p>
            <w:pPr>
              <w:widowControl/>
              <w:snapToGrid w:val="0"/>
              <w:jc w:val="left"/>
              <w:rPr>
                <w:rFonts w:ascii="仿宋_GB2312" w:hAnsi="宋体" w:cs="宋体"/>
                <w:bCs/>
                <w:kern w:val="0"/>
                <w:sz w:val="18"/>
                <w:szCs w:val="18"/>
              </w:rPr>
            </w:pPr>
            <w:r>
              <w:rPr>
                <w:rFonts w:hint="eastAsia" w:ascii="仿宋_GB2312" w:hAnsi="宋体" w:cs="宋体"/>
                <w:bCs/>
                <w:kern w:val="0"/>
                <w:sz w:val="18"/>
                <w:szCs w:val="18"/>
              </w:rPr>
              <w:t>序号</w:t>
            </w:r>
          </w:p>
        </w:tc>
        <w:tc>
          <w:tcPr>
            <w:tcW w:w="1058" w:type="dxa"/>
            <w:noWrap w:val="0"/>
            <w:vAlign w:val="center"/>
          </w:tcPr>
          <w:p>
            <w:pPr>
              <w:widowControl/>
              <w:snapToGrid w:val="0"/>
              <w:jc w:val="center"/>
              <w:rPr>
                <w:rFonts w:ascii="仿宋_GB2312" w:hAnsi="宋体" w:cs="宋体"/>
                <w:bCs/>
                <w:kern w:val="0"/>
                <w:sz w:val="18"/>
                <w:szCs w:val="18"/>
              </w:rPr>
            </w:pPr>
            <w:r>
              <w:rPr>
                <w:rFonts w:hint="eastAsia" w:ascii="仿宋_GB2312" w:hAnsi="黑体" w:cs="宋体"/>
                <w:kern w:val="0"/>
                <w:sz w:val="18"/>
                <w:szCs w:val="18"/>
              </w:rPr>
              <w:t>核查</w:t>
            </w:r>
            <w:r>
              <w:rPr>
                <w:rFonts w:hint="eastAsia" w:ascii="仿宋_GB2312" w:hAnsi="宋体" w:cs="宋体"/>
                <w:bCs/>
                <w:kern w:val="0"/>
                <w:sz w:val="18"/>
                <w:szCs w:val="18"/>
              </w:rPr>
              <w:t>项目</w:t>
            </w:r>
          </w:p>
        </w:tc>
        <w:tc>
          <w:tcPr>
            <w:tcW w:w="5040" w:type="dxa"/>
            <w:noWrap w:val="0"/>
            <w:vAlign w:val="center"/>
          </w:tcPr>
          <w:p>
            <w:pPr>
              <w:widowControl/>
              <w:snapToGrid w:val="0"/>
              <w:jc w:val="center"/>
              <w:rPr>
                <w:rFonts w:ascii="仿宋_GB2312" w:hAnsi="宋体" w:cs="宋体"/>
                <w:bCs/>
                <w:kern w:val="0"/>
                <w:sz w:val="18"/>
                <w:szCs w:val="18"/>
              </w:rPr>
            </w:pPr>
            <w:r>
              <w:rPr>
                <w:rFonts w:hint="eastAsia" w:ascii="仿宋_GB2312" w:hAnsi="黑体" w:cs="宋体"/>
                <w:kern w:val="0"/>
                <w:sz w:val="18"/>
                <w:szCs w:val="18"/>
              </w:rPr>
              <w:t>核查</w:t>
            </w:r>
            <w:r>
              <w:rPr>
                <w:rFonts w:hint="eastAsia" w:ascii="仿宋_GB2312" w:hAnsi="宋体" w:cs="宋体"/>
                <w:bCs/>
                <w:kern w:val="0"/>
                <w:sz w:val="18"/>
                <w:szCs w:val="18"/>
              </w:rPr>
              <w:t>内容</w:t>
            </w:r>
          </w:p>
        </w:tc>
        <w:tc>
          <w:tcPr>
            <w:tcW w:w="1080" w:type="dxa"/>
            <w:noWrap w:val="0"/>
            <w:vAlign w:val="center"/>
          </w:tcPr>
          <w:p>
            <w:pPr>
              <w:widowControl/>
              <w:snapToGrid w:val="0"/>
              <w:jc w:val="center"/>
              <w:rPr>
                <w:rFonts w:ascii="仿宋_GB2312" w:hAnsi="宋体" w:cs="宋体"/>
                <w:bCs/>
                <w:kern w:val="0"/>
                <w:sz w:val="18"/>
                <w:szCs w:val="18"/>
              </w:rPr>
            </w:pPr>
            <w:r>
              <w:rPr>
                <w:rFonts w:hint="eastAsia" w:ascii="仿宋_GB2312" w:hAnsi="宋体" w:cs="宋体"/>
                <w:bCs/>
                <w:kern w:val="0"/>
                <w:sz w:val="18"/>
                <w:szCs w:val="18"/>
              </w:rPr>
              <w:t>标准分（100分）</w:t>
            </w:r>
          </w:p>
        </w:tc>
        <w:tc>
          <w:tcPr>
            <w:tcW w:w="4041" w:type="dxa"/>
            <w:noWrap w:val="0"/>
            <w:vAlign w:val="center"/>
          </w:tcPr>
          <w:p>
            <w:pPr>
              <w:widowControl/>
              <w:snapToGrid w:val="0"/>
              <w:jc w:val="center"/>
              <w:rPr>
                <w:rFonts w:ascii="仿宋_GB2312" w:hAnsi="宋体" w:cs="宋体"/>
                <w:bCs/>
                <w:kern w:val="0"/>
                <w:sz w:val="18"/>
                <w:szCs w:val="18"/>
              </w:rPr>
            </w:pPr>
            <w:r>
              <w:rPr>
                <w:rFonts w:hint="eastAsia" w:ascii="仿宋_GB2312" w:hAnsi="黑体" w:cs="宋体"/>
                <w:kern w:val="0"/>
                <w:sz w:val="18"/>
                <w:szCs w:val="18"/>
              </w:rPr>
              <w:t>核查</w:t>
            </w:r>
            <w:r>
              <w:rPr>
                <w:rFonts w:hint="eastAsia" w:ascii="仿宋_GB2312" w:hAnsi="宋体" w:cs="宋体"/>
                <w:bCs/>
                <w:kern w:val="0"/>
                <w:sz w:val="18"/>
                <w:szCs w:val="18"/>
              </w:rPr>
              <w:t>标准</w:t>
            </w:r>
          </w:p>
        </w:tc>
        <w:tc>
          <w:tcPr>
            <w:tcW w:w="875" w:type="dxa"/>
            <w:noWrap w:val="0"/>
            <w:vAlign w:val="center"/>
          </w:tcPr>
          <w:p>
            <w:pPr>
              <w:widowControl/>
              <w:snapToGrid w:val="0"/>
              <w:jc w:val="left"/>
              <w:rPr>
                <w:rFonts w:ascii="仿宋_GB2312" w:hAnsi="宋体" w:cs="宋体"/>
                <w:bCs/>
                <w:kern w:val="0"/>
                <w:sz w:val="18"/>
                <w:szCs w:val="18"/>
              </w:rPr>
            </w:pPr>
            <w:r>
              <w:rPr>
                <w:rFonts w:hint="eastAsia" w:ascii="仿宋_GB2312" w:hAnsi="宋体" w:cs="宋体"/>
                <w:bCs/>
                <w:kern w:val="0"/>
                <w:sz w:val="18"/>
                <w:szCs w:val="18"/>
              </w:rPr>
              <w:t>自评分</w:t>
            </w:r>
          </w:p>
        </w:tc>
        <w:tc>
          <w:tcPr>
            <w:tcW w:w="939" w:type="dxa"/>
            <w:noWrap w:val="0"/>
            <w:vAlign w:val="center"/>
          </w:tcPr>
          <w:p>
            <w:pPr>
              <w:widowControl/>
              <w:snapToGrid w:val="0"/>
              <w:jc w:val="left"/>
              <w:rPr>
                <w:rFonts w:ascii="仿宋_GB2312" w:hAnsi="宋体" w:cs="宋体"/>
                <w:bCs/>
                <w:kern w:val="0"/>
                <w:sz w:val="18"/>
                <w:szCs w:val="18"/>
              </w:rPr>
            </w:pPr>
            <w:r>
              <w:rPr>
                <w:rFonts w:hint="eastAsia" w:ascii="仿宋_GB2312" w:hAnsi="黑体" w:cs="宋体"/>
                <w:kern w:val="0"/>
                <w:sz w:val="18"/>
                <w:szCs w:val="18"/>
              </w:rPr>
              <w:t>实际得分</w:t>
            </w:r>
          </w:p>
        </w:tc>
        <w:tc>
          <w:tcPr>
            <w:tcW w:w="758" w:type="dxa"/>
            <w:noWrap w:val="0"/>
            <w:vAlign w:val="center"/>
          </w:tcPr>
          <w:p>
            <w:pPr>
              <w:widowControl/>
              <w:snapToGrid w:val="0"/>
              <w:jc w:val="left"/>
              <w:rPr>
                <w:rFonts w:ascii="仿宋_GB2312" w:hAnsi="宋体" w:cs="宋体"/>
                <w:bCs/>
                <w:kern w:val="0"/>
                <w:sz w:val="18"/>
                <w:szCs w:val="18"/>
              </w:rPr>
            </w:pPr>
            <w:r>
              <w:rPr>
                <w:rFonts w:hint="eastAsia" w:ascii="仿宋_GB2312" w:hAnsi="宋体" w:cs="宋体"/>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97"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一</w:t>
            </w:r>
          </w:p>
        </w:tc>
        <w:tc>
          <w:tcPr>
            <w:tcW w:w="1058"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管理制度(10分)</w:t>
            </w: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1.建立健全船舶安全操作规章制度、船舶航行制度、停泊值班制度、交接班制度、设备技术保养等制度以及轮、驾人员岗位职责</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每缺少一项制度扣1分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2.船员持有相应等级适任资格证书</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无适任证书扣1－2分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3.船舶按相关规定进行检验</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未按规定检验扣1－2分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4.制定年度维修保养计划并严格实施</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未制定计划扣1分，未实施扣1分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97"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二</w:t>
            </w:r>
          </w:p>
        </w:tc>
        <w:tc>
          <w:tcPr>
            <w:tcW w:w="1058"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船体保养(15分)</w:t>
            </w: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1.标志标识清晰，船容整洁</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标志标识不清晰、船容不整洁，酌情扣1－3分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2.舱内及甲板、舷墙弯角等处无污物、泥砂</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有污物泥砂扣1－2分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3.船舶内务管理整洁有序</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未做到整洁有序扣1－2分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4.甲板、天棚的流水管（孔）畅通</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流水管（孔）不畅通扣1－2分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97"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三</w:t>
            </w:r>
          </w:p>
        </w:tc>
        <w:tc>
          <w:tcPr>
            <w:tcW w:w="1058"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船舶机械(25分)</w:t>
            </w: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1.按时进行保养，保证主、辅机处于良好技术状况</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未按时保养、技术状况不良扣1－3分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2.主机在常温下启动迅速、加速灵敏、运转平稳</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每项不合格扣1分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3.机舱水、油、气等管路接头处无漏水、油、气现象</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每项不合格扣1分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4.各种仪表使用灵敏、显示正常</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每项不合格扣1分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5.各传动轴系、各种操纵设备完好有效，操舵灵便</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每项不合格扣1分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97"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四</w:t>
            </w:r>
          </w:p>
        </w:tc>
        <w:tc>
          <w:tcPr>
            <w:tcW w:w="1058"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船舶电气(20分)</w:t>
            </w: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1.电器设备有可靠的绝缘和接地</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绝缘或接地不可靠扣1－3分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2.电机装配适当，转动正常</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转动不良扣2－4分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3.电机清洁干燥，无积水和油渍、水迹</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每项不合格扣1分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4.杆座、开关、保险盒无松损，连接螺钉紧固，接触灵活、安全可靠</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6分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每项不合格扣1分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97"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五</w:t>
            </w:r>
          </w:p>
        </w:tc>
        <w:tc>
          <w:tcPr>
            <w:tcW w:w="1058"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船舶操作及安全管理(20分)</w:t>
            </w: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1.航前安全提示有内容、有措施、有记录</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每项不合格扣1分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2.船员实船操作遵守规程</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5分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未遵守规程，发现一次扣1分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3.船舶安全通信设施完好，使用正常</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3分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通信不正常扣2分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4.船舶消防、救生设备配备齐全、设备完好、使用正常</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配备不齐全扣2分，设备不完好扣1分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5.建立船舶消防、救生应急预案</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无预案扣4分，预案不完善扣2分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97"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六</w:t>
            </w:r>
          </w:p>
        </w:tc>
        <w:tc>
          <w:tcPr>
            <w:tcW w:w="1058" w:type="dxa"/>
            <w:vMerge w:val="restart"/>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档案与资料管理（10分）</w:t>
            </w: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1.船舶技术档案资料齐全</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不规范、不齐全扣1分， 不真实扣2分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2.航行日志及轮机日志记录规范、齐全</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4分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不规范扣1分，不齐全扣2分，不真实扣4分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3.燃料及润滑油消耗</w:t>
            </w:r>
            <w:r>
              <w:rPr>
                <w:rFonts w:hint="eastAsia" w:ascii="仿宋_GB2312" w:hAnsi="宋体" w:cs="宋体"/>
                <w:bCs/>
                <w:kern w:val="0"/>
                <w:sz w:val="18"/>
                <w:szCs w:val="18"/>
              </w:rPr>
              <w:t>台账</w:t>
            </w:r>
            <w:r>
              <w:rPr>
                <w:rFonts w:hint="eastAsia" w:ascii="仿宋_GB2312" w:hAnsi="宋体" w:cs="宋体"/>
                <w:kern w:val="0"/>
                <w:sz w:val="18"/>
                <w:szCs w:val="18"/>
              </w:rPr>
              <w:t>记录齐全</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不齐全、不规范扣1分，不真实扣2分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50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4.大、中修资料齐全</w:t>
            </w:r>
          </w:p>
        </w:tc>
        <w:tc>
          <w:tcPr>
            <w:tcW w:w="108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2分</w:t>
            </w:r>
          </w:p>
        </w:tc>
        <w:tc>
          <w:tcPr>
            <w:tcW w:w="4041"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不齐全、不规范扣1分，不真实扣2分</w:t>
            </w:r>
          </w:p>
        </w:tc>
        <w:tc>
          <w:tcPr>
            <w:tcW w:w="875"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939"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58"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bl>
    <w:p>
      <w:pPr>
        <w:widowControl/>
        <w:ind w:firstLine="600"/>
        <w:jc w:val="left"/>
        <w:rPr>
          <w:rFonts w:ascii="宋体" w:hAnsi="宋体"/>
          <w:sz w:val="30"/>
          <w:szCs w:val="30"/>
        </w:rPr>
        <w:sectPr>
          <w:pgSz w:w="16838" w:h="11906" w:orient="landscape"/>
          <w:pgMar w:top="1440" w:right="1440" w:bottom="1440" w:left="1440" w:header="851" w:footer="992" w:gutter="0"/>
          <w:pgNumType w:fmt="numberInDash"/>
          <w:cols w:space="720" w:num="1"/>
          <w:docGrid w:type="lines" w:linePitch="312" w:charSpace="0"/>
        </w:sectPr>
      </w:pPr>
    </w:p>
    <w:p>
      <w:pPr>
        <w:widowControl/>
        <w:snapToGrid w:val="0"/>
        <w:jc w:val="center"/>
        <w:rPr>
          <w:rFonts w:ascii="仿宋_GB2312" w:hAnsi="宋体" w:cs="宋体"/>
          <w:kern w:val="0"/>
          <w:sz w:val="24"/>
        </w:rPr>
      </w:pPr>
      <w:r>
        <w:rPr>
          <w:rFonts w:hint="eastAsia" w:ascii="仿宋_GB2312" w:hAnsi="宋体" w:cs="宋体"/>
          <w:bCs/>
          <w:kern w:val="0"/>
          <w:sz w:val="24"/>
        </w:rPr>
        <w:t>表八、航道护岸和绿化养护附加核查表</w:t>
      </w:r>
    </w:p>
    <w:tbl>
      <w:tblPr>
        <w:tblStyle w:val="6"/>
        <w:tblW w:w="142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1114"/>
        <w:gridCol w:w="1440"/>
        <w:gridCol w:w="4860"/>
        <w:gridCol w:w="1024"/>
        <w:gridCol w:w="3420"/>
        <w:gridCol w:w="720"/>
        <w:gridCol w:w="72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397"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序号</w:t>
            </w:r>
          </w:p>
        </w:tc>
        <w:tc>
          <w:tcPr>
            <w:tcW w:w="1114" w:type="dxa"/>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项目</w:t>
            </w:r>
          </w:p>
        </w:tc>
        <w:tc>
          <w:tcPr>
            <w:tcW w:w="6300" w:type="dxa"/>
            <w:gridSpan w:val="2"/>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内容</w:t>
            </w:r>
          </w:p>
        </w:tc>
        <w:tc>
          <w:tcPr>
            <w:tcW w:w="1024"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标准分</w:t>
            </w:r>
          </w:p>
          <w:p>
            <w:pPr>
              <w:widowControl/>
              <w:snapToGrid w:val="0"/>
              <w:jc w:val="center"/>
              <w:rPr>
                <w:rFonts w:ascii="仿宋_GB2312" w:hAnsi="宋体" w:cs="宋体"/>
                <w:kern w:val="0"/>
                <w:sz w:val="18"/>
                <w:szCs w:val="18"/>
              </w:rPr>
            </w:pPr>
            <w:r>
              <w:rPr>
                <w:rFonts w:hint="eastAsia" w:ascii="仿宋_GB2312" w:hAnsi="宋体" w:cs="宋体"/>
                <w:kern w:val="0"/>
                <w:sz w:val="18"/>
                <w:szCs w:val="18"/>
              </w:rPr>
              <w:t>（100分）</w:t>
            </w:r>
          </w:p>
        </w:tc>
        <w:tc>
          <w:tcPr>
            <w:tcW w:w="3420" w:type="dxa"/>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核查</w:t>
            </w:r>
            <w:r>
              <w:rPr>
                <w:rFonts w:hint="eastAsia" w:ascii="仿宋_GB2312" w:hAnsi="宋体" w:cs="宋体"/>
                <w:kern w:val="0"/>
                <w:sz w:val="18"/>
                <w:szCs w:val="18"/>
              </w:rPr>
              <w:t>标准</w:t>
            </w:r>
          </w:p>
        </w:tc>
        <w:tc>
          <w:tcPr>
            <w:tcW w:w="720" w:type="dxa"/>
            <w:noWrap w:val="0"/>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自评分</w:t>
            </w:r>
          </w:p>
        </w:tc>
        <w:tc>
          <w:tcPr>
            <w:tcW w:w="720" w:type="dxa"/>
            <w:noWrap w:val="0"/>
            <w:vAlign w:val="center"/>
          </w:tcPr>
          <w:p>
            <w:pPr>
              <w:widowControl/>
              <w:snapToGrid w:val="0"/>
              <w:jc w:val="center"/>
              <w:rPr>
                <w:rFonts w:ascii="仿宋_GB2312" w:hAnsi="宋体" w:cs="宋体"/>
                <w:kern w:val="0"/>
                <w:sz w:val="18"/>
                <w:szCs w:val="18"/>
              </w:rPr>
            </w:pPr>
            <w:r>
              <w:rPr>
                <w:rFonts w:hint="eastAsia" w:ascii="仿宋_GB2312" w:hAnsi="黑体" w:cs="宋体"/>
                <w:kern w:val="0"/>
                <w:sz w:val="18"/>
                <w:szCs w:val="18"/>
              </w:rPr>
              <w:t>实际得分</w:t>
            </w:r>
          </w:p>
        </w:tc>
        <w:tc>
          <w:tcPr>
            <w:tcW w:w="540" w:type="dxa"/>
            <w:noWrap/>
            <w:vAlign w:val="center"/>
          </w:tcPr>
          <w:p>
            <w:pPr>
              <w:widowControl/>
              <w:snapToGrid w:val="0"/>
              <w:jc w:val="center"/>
              <w:rPr>
                <w:rFonts w:ascii="仿宋_GB2312" w:hAnsi="宋体" w:cs="宋体"/>
                <w:kern w:val="0"/>
                <w:sz w:val="18"/>
                <w:szCs w:val="18"/>
              </w:rPr>
            </w:pPr>
            <w:r>
              <w:rPr>
                <w:rFonts w:hint="eastAsia" w:ascii="仿宋_GB2312"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97" w:type="dxa"/>
            <w:vMerge w:val="restart"/>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一</w:t>
            </w:r>
          </w:p>
        </w:tc>
        <w:tc>
          <w:tcPr>
            <w:tcW w:w="1114" w:type="dxa"/>
            <w:vMerge w:val="restart"/>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航道护岸养护（60 分）</w:t>
            </w:r>
          </w:p>
        </w:tc>
        <w:tc>
          <w:tcPr>
            <w:tcW w:w="1440" w:type="dxa"/>
            <w:noWrap w:val="0"/>
            <w:vAlign w:val="center"/>
          </w:tcPr>
          <w:p>
            <w:pPr>
              <w:adjustRightInd w:val="0"/>
              <w:snapToGrid w:val="0"/>
              <w:jc w:val="left"/>
              <w:rPr>
                <w:rFonts w:ascii="仿宋_GB2312"/>
                <w:sz w:val="18"/>
                <w:szCs w:val="18"/>
              </w:rPr>
            </w:pPr>
            <w:r>
              <w:rPr>
                <w:rFonts w:hint="eastAsia" w:ascii="仿宋_GB2312" w:hAnsi="宋体" w:cs="宋体"/>
                <w:kern w:val="0"/>
                <w:sz w:val="18"/>
                <w:szCs w:val="18"/>
              </w:rPr>
              <w:t>1.航道</w:t>
            </w:r>
            <w:r>
              <w:rPr>
                <w:rFonts w:hint="eastAsia" w:ascii="仿宋_GB2312"/>
                <w:sz w:val="18"/>
                <w:szCs w:val="18"/>
              </w:rPr>
              <w:t>护岸整体环境</w:t>
            </w:r>
          </w:p>
        </w:tc>
        <w:tc>
          <w:tcPr>
            <w:tcW w:w="4860" w:type="dxa"/>
            <w:noWrap w:val="0"/>
            <w:vAlign w:val="center"/>
          </w:tcPr>
          <w:p>
            <w:pPr>
              <w:widowControl/>
              <w:adjustRightInd w:val="0"/>
              <w:snapToGrid w:val="0"/>
              <w:jc w:val="left"/>
              <w:rPr>
                <w:rFonts w:ascii="仿宋_GB2312" w:hAnsi="宋体" w:cs="宋体"/>
                <w:kern w:val="0"/>
                <w:sz w:val="18"/>
                <w:szCs w:val="18"/>
              </w:rPr>
            </w:pPr>
            <w:r>
              <w:rPr>
                <w:rFonts w:hint="eastAsia" w:ascii="仿宋_GB2312"/>
                <w:sz w:val="18"/>
                <w:szCs w:val="18"/>
              </w:rPr>
              <w:t>清理护岸、护坡杂物，保持航道面貌整洁</w:t>
            </w:r>
          </w:p>
        </w:tc>
        <w:tc>
          <w:tcPr>
            <w:tcW w:w="1024" w:type="dxa"/>
            <w:noWrap w:val="0"/>
            <w:vAlign w:val="center"/>
          </w:tcPr>
          <w:p>
            <w:pPr>
              <w:widowControl/>
              <w:adjustRightInd w:val="0"/>
              <w:snapToGrid w:val="0"/>
              <w:jc w:val="center"/>
              <w:rPr>
                <w:rFonts w:ascii="仿宋_GB2312" w:hAnsi="宋体" w:cs="宋体"/>
                <w:kern w:val="0"/>
                <w:sz w:val="18"/>
                <w:szCs w:val="18"/>
              </w:rPr>
            </w:pPr>
            <w:r>
              <w:rPr>
                <w:rFonts w:hint="eastAsia" w:ascii="仿宋_GB2312" w:hAnsi="宋体" w:cs="宋体"/>
                <w:kern w:val="0"/>
                <w:sz w:val="18"/>
                <w:szCs w:val="18"/>
              </w:rPr>
              <w:t>10分</w:t>
            </w:r>
          </w:p>
        </w:tc>
        <w:tc>
          <w:tcPr>
            <w:tcW w:w="3420" w:type="dxa"/>
            <w:noWrap w:val="0"/>
            <w:vAlign w:val="center"/>
          </w:tcPr>
          <w:p>
            <w:pPr>
              <w:widowControl/>
              <w:adjustRightInd w:val="0"/>
              <w:snapToGrid w:val="0"/>
              <w:jc w:val="left"/>
              <w:rPr>
                <w:rFonts w:ascii="仿宋_GB2312" w:hAnsi="宋体" w:cs="宋体"/>
                <w:kern w:val="0"/>
                <w:sz w:val="18"/>
                <w:szCs w:val="18"/>
              </w:rPr>
            </w:pPr>
            <w:r>
              <w:rPr>
                <w:rFonts w:hint="eastAsia" w:ascii="仿宋_GB2312"/>
                <w:sz w:val="18"/>
                <w:szCs w:val="18"/>
              </w:rPr>
              <w:t>航道沿线不整洁，有杂物等，每处扣0.5分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440" w:type="dxa"/>
            <w:vMerge w:val="restart"/>
            <w:noWrap w:val="0"/>
            <w:vAlign w:val="center"/>
          </w:tcPr>
          <w:p>
            <w:pPr>
              <w:widowControl/>
              <w:adjustRightInd w:val="0"/>
              <w:snapToGrid w:val="0"/>
              <w:rPr>
                <w:rFonts w:ascii="仿宋_GB2312" w:hAnsi="宋体" w:cs="宋体"/>
                <w:kern w:val="0"/>
                <w:sz w:val="18"/>
                <w:szCs w:val="18"/>
              </w:rPr>
            </w:pPr>
            <w:r>
              <w:rPr>
                <w:rFonts w:hint="eastAsia" w:ascii="仿宋_GB2312" w:hAnsi="宋体" w:cs="宋体"/>
                <w:kern w:val="0"/>
                <w:sz w:val="18"/>
                <w:szCs w:val="18"/>
              </w:rPr>
              <w:t>2.航道</w:t>
            </w:r>
            <w:r>
              <w:rPr>
                <w:rFonts w:hint="eastAsia" w:ascii="仿宋_GB2312"/>
                <w:sz w:val="18"/>
                <w:szCs w:val="18"/>
              </w:rPr>
              <w:t>护岸完好情况</w:t>
            </w:r>
          </w:p>
        </w:tc>
        <w:tc>
          <w:tcPr>
            <w:tcW w:w="4860" w:type="dxa"/>
            <w:noWrap w:val="0"/>
            <w:vAlign w:val="center"/>
          </w:tcPr>
          <w:p>
            <w:pPr>
              <w:adjustRightInd w:val="0"/>
              <w:snapToGrid w:val="0"/>
              <w:rPr>
                <w:rFonts w:ascii="仿宋_GB2312"/>
                <w:sz w:val="18"/>
                <w:szCs w:val="18"/>
              </w:rPr>
            </w:pPr>
            <w:r>
              <w:rPr>
                <w:rFonts w:hint="eastAsia" w:ascii="仿宋_GB2312"/>
                <w:sz w:val="18"/>
                <w:szCs w:val="18"/>
              </w:rPr>
              <w:t>护岸整体完好率大于95%</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6分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小于95%的，每下降1%扣2分</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4860" w:type="dxa"/>
            <w:noWrap w:val="0"/>
            <w:vAlign w:val="center"/>
          </w:tcPr>
          <w:p>
            <w:pPr>
              <w:adjustRightInd w:val="0"/>
              <w:snapToGrid w:val="0"/>
              <w:rPr>
                <w:rFonts w:ascii="仿宋_GB2312"/>
                <w:sz w:val="18"/>
                <w:szCs w:val="18"/>
              </w:rPr>
            </w:pPr>
            <w:r>
              <w:rPr>
                <w:rFonts w:hint="eastAsia" w:ascii="仿宋_GB2312"/>
                <w:sz w:val="18"/>
                <w:szCs w:val="18"/>
              </w:rPr>
              <w:t>护岸墙身每公里累计破损面积小于50平方米，单个破损面积大于2平方米的坑洞每公里不大于3处</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6分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发现超过标准的，每处扣1分</w:t>
            </w:r>
          </w:p>
        </w:tc>
        <w:tc>
          <w:tcPr>
            <w:tcW w:w="720" w:type="dxa"/>
            <w:noWrap w:val="0"/>
            <w:vAlign w:val="center"/>
          </w:tcPr>
          <w:p>
            <w:pPr>
              <w:widowControl/>
              <w:snapToGrid w:val="0"/>
              <w:jc w:val="left"/>
              <w:rPr>
                <w:rFonts w:ascii="仿宋_GB2312" w:hAnsi="宋体" w:cs="宋体"/>
                <w:kern w:val="0"/>
                <w:sz w:val="18"/>
                <w:szCs w:val="18"/>
              </w:rPr>
            </w:pPr>
          </w:p>
        </w:tc>
        <w:tc>
          <w:tcPr>
            <w:tcW w:w="720" w:type="dxa"/>
            <w:noWrap w:val="0"/>
            <w:vAlign w:val="center"/>
          </w:tcPr>
          <w:p>
            <w:pPr>
              <w:widowControl/>
              <w:snapToGrid w:val="0"/>
              <w:jc w:val="left"/>
              <w:rPr>
                <w:rFonts w:ascii="仿宋_GB2312" w:hAnsi="宋体" w:cs="宋体"/>
                <w:kern w:val="0"/>
                <w:sz w:val="18"/>
                <w:szCs w:val="18"/>
              </w:rPr>
            </w:pPr>
          </w:p>
        </w:tc>
        <w:tc>
          <w:tcPr>
            <w:tcW w:w="540" w:type="dxa"/>
            <w:noWrap/>
            <w:vAlign w:val="center"/>
          </w:tcPr>
          <w:p>
            <w:pPr>
              <w:widowControl/>
              <w:snapToGrid w:val="0"/>
              <w:jc w:val="left"/>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4860" w:type="dxa"/>
            <w:noWrap w:val="0"/>
            <w:vAlign w:val="center"/>
          </w:tcPr>
          <w:p>
            <w:pPr>
              <w:adjustRightInd w:val="0"/>
              <w:snapToGrid w:val="0"/>
              <w:rPr>
                <w:rFonts w:ascii="仿宋_GB2312"/>
                <w:sz w:val="18"/>
                <w:szCs w:val="18"/>
              </w:rPr>
            </w:pPr>
            <w:r>
              <w:rPr>
                <w:rFonts w:hint="eastAsia" w:ascii="仿宋_GB2312"/>
                <w:sz w:val="18"/>
                <w:szCs w:val="18"/>
              </w:rPr>
              <w:t>护岸压顶每公里累计破损长度小于50米，连续破损长度超过2米的每公里不大于3处</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6分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发现超过标准的，每处扣1分</w:t>
            </w:r>
          </w:p>
        </w:tc>
        <w:tc>
          <w:tcPr>
            <w:tcW w:w="720" w:type="dxa"/>
            <w:noWrap w:val="0"/>
            <w:vAlign w:val="center"/>
          </w:tcPr>
          <w:p>
            <w:pPr>
              <w:widowControl/>
              <w:snapToGrid w:val="0"/>
              <w:jc w:val="left"/>
              <w:rPr>
                <w:rFonts w:ascii="仿宋_GB2312" w:hAnsi="宋体" w:cs="宋体"/>
                <w:kern w:val="0"/>
                <w:sz w:val="18"/>
                <w:szCs w:val="18"/>
              </w:rPr>
            </w:pPr>
          </w:p>
        </w:tc>
        <w:tc>
          <w:tcPr>
            <w:tcW w:w="720" w:type="dxa"/>
            <w:noWrap w:val="0"/>
            <w:vAlign w:val="center"/>
          </w:tcPr>
          <w:p>
            <w:pPr>
              <w:widowControl/>
              <w:snapToGrid w:val="0"/>
              <w:jc w:val="left"/>
              <w:rPr>
                <w:rFonts w:ascii="仿宋_GB2312" w:hAnsi="宋体" w:cs="宋体"/>
                <w:kern w:val="0"/>
                <w:sz w:val="18"/>
                <w:szCs w:val="18"/>
              </w:rPr>
            </w:pPr>
          </w:p>
        </w:tc>
        <w:tc>
          <w:tcPr>
            <w:tcW w:w="540" w:type="dxa"/>
            <w:noWrap/>
            <w:vAlign w:val="center"/>
          </w:tcPr>
          <w:p>
            <w:pPr>
              <w:widowControl/>
              <w:snapToGrid w:val="0"/>
              <w:jc w:val="left"/>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4860" w:type="dxa"/>
            <w:noWrap w:val="0"/>
            <w:vAlign w:val="center"/>
          </w:tcPr>
          <w:p>
            <w:pPr>
              <w:adjustRightInd w:val="0"/>
              <w:snapToGrid w:val="0"/>
              <w:rPr>
                <w:rFonts w:ascii="仿宋_GB2312"/>
                <w:sz w:val="18"/>
                <w:szCs w:val="18"/>
              </w:rPr>
            </w:pPr>
            <w:r>
              <w:rPr>
                <w:rFonts w:hint="eastAsia" w:ascii="仿宋_GB2312"/>
                <w:sz w:val="18"/>
                <w:szCs w:val="18"/>
              </w:rPr>
              <w:t>护岸勾缝脱落面积每100米护岸小于30平方米</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6分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发现超过标准的，每处扣0.5分</w:t>
            </w:r>
          </w:p>
        </w:tc>
        <w:tc>
          <w:tcPr>
            <w:tcW w:w="720" w:type="dxa"/>
            <w:noWrap w:val="0"/>
            <w:vAlign w:val="center"/>
          </w:tcPr>
          <w:p>
            <w:pPr>
              <w:widowControl/>
              <w:snapToGrid w:val="0"/>
              <w:jc w:val="left"/>
              <w:rPr>
                <w:rFonts w:ascii="仿宋_GB2312" w:hAnsi="宋体" w:cs="宋体"/>
                <w:kern w:val="0"/>
                <w:sz w:val="18"/>
                <w:szCs w:val="18"/>
              </w:rPr>
            </w:pPr>
          </w:p>
        </w:tc>
        <w:tc>
          <w:tcPr>
            <w:tcW w:w="720" w:type="dxa"/>
            <w:noWrap w:val="0"/>
            <w:vAlign w:val="center"/>
          </w:tcPr>
          <w:p>
            <w:pPr>
              <w:widowControl/>
              <w:snapToGrid w:val="0"/>
              <w:jc w:val="left"/>
              <w:rPr>
                <w:rFonts w:ascii="仿宋_GB2312" w:hAnsi="宋体" w:cs="宋体"/>
                <w:kern w:val="0"/>
                <w:sz w:val="18"/>
                <w:szCs w:val="18"/>
              </w:rPr>
            </w:pPr>
          </w:p>
        </w:tc>
        <w:tc>
          <w:tcPr>
            <w:tcW w:w="540" w:type="dxa"/>
            <w:noWrap/>
            <w:vAlign w:val="center"/>
          </w:tcPr>
          <w:p>
            <w:pPr>
              <w:widowControl/>
              <w:snapToGrid w:val="0"/>
              <w:jc w:val="left"/>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4860" w:type="dxa"/>
            <w:noWrap w:val="0"/>
            <w:vAlign w:val="center"/>
          </w:tcPr>
          <w:p>
            <w:pPr>
              <w:adjustRightInd w:val="0"/>
              <w:snapToGrid w:val="0"/>
              <w:rPr>
                <w:rFonts w:ascii="仿宋_GB2312"/>
                <w:sz w:val="18"/>
                <w:szCs w:val="18"/>
              </w:rPr>
            </w:pPr>
            <w:r>
              <w:rPr>
                <w:rFonts w:hint="eastAsia" w:ascii="仿宋_GB2312"/>
                <w:sz w:val="18"/>
                <w:szCs w:val="18"/>
              </w:rPr>
              <w:t>沉降缝损坏每100米护岸不大于1道</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6分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发现超过标准的，每处扣0.5分</w:t>
            </w:r>
          </w:p>
        </w:tc>
        <w:tc>
          <w:tcPr>
            <w:tcW w:w="720" w:type="dxa"/>
            <w:noWrap w:val="0"/>
            <w:vAlign w:val="center"/>
          </w:tcPr>
          <w:p>
            <w:pPr>
              <w:widowControl/>
              <w:snapToGrid w:val="0"/>
              <w:jc w:val="left"/>
              <w:rPr>
                <w:rFonts w:ascii="仿宋_GB2312" w:hAnsi="宋体" w:cs="宋体"/>
                <w:kern w:val="0"/>
                <w:sz w:val="18"/>
                <w:szCs w:val="18"/>
              </w:rPr>
            </w:pPr>
          </w:p>
        </w:tc>
        <w:tc>
          <w:tcPr>
            <w:tcW w:w="720" w:type="dxa"/>
            <w:noWrap w:val="0"/>
            <w:vAlign w:val="center"/>
          </w:tcPr>
          <w:p>
            <w:pPr>
              <w:widowControl/>
              <w:snapToGrid w:val="0"/>
              <w:jc w:val="left"/>
              <w:rPr>
                <w:rFonts w:ascii="仿宋_GB2312" w:hAnsi="宋体" w:cs="宋体"/>
                <w:kern w:val="0"/>
                <w:sz w:val="18"/>
                <w:szCs w:val="18"/>
              </w:rPr>
            </w:pPr>
          </w:p>
        </w:tc>
        <w:tc>
          <w:tcPr>
            <w:tcW w:w="540" w:type="dxa"/>
            <w:noWrap/>
            <w:vAlign w:val="center"/>
          </w:tcPr>
          <w:p>
            <w:pPr>
              <w:widowControl/>
              <w:snapToGrid w:val="0"/>
              <w:jc w:val="left"/>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440" w:type="dxa"/>
            <w:noWrap w:val="0"/>
            <w:vAlign w:val="center"/>
          </w:tcPr>
          <w:p>
            <w:pPr>
              <w:adjustRightInd w:val="0"/>
              <w:snapToGrid w:val="0"/>
              <w:rPr>
                <w:rFonts w:ascii="仿宋_GB2312"/>
                <w:sz w:val="18"/>
                <w:szCs w:val="18"/>
              </w:rPr>
            </w:pPr>
            <w:r>
              <w:rPr>
                <w:rFonts w:hint="eastAsia" w:ascii="仿宋_GB2312"/>
                <w:sz w:val="18"/>
                <w:szCs w:val="18"/>
              </w:rPr>
              <w:t>3.护岸维修工程质量</w:t>
            </w:r>
          </w:p>
        </w:tc>
        <w:tc>
          <w:tcPr>
            <w:tcW w:w="4860" w:type="dxa"/>
            <w:noWrap w:val="0"/>
            <w:vAlign w:val="center"/>
          </w:tcPr>
          <w:p>
            <w:pPr>
              <w:adjustRightInd w:val="0"/>
              <w:snapToGrid w:val="0"/>
              <w:rPr>
                <w:rFonts w:ascii="仿宋_GB2312"/>
                <w:sz w:val="18"/>
                <w:szCs w:val="18"/>
              </w:rPr>
            </w:pPr>
            <w:r>
              <w:rPr>
                <w:rFonts w:hint="eastAsia" w:ascii="仿宋_GB2312"/>
                <w:sz w:val="18"/>
                <w:szCs w:val="18"/>
              </w:rPr>
              <w:t>护岸修复质量满足规范要求，砌体牢固、墙面平整、勾缝密实美观；压顶前沿线平顺、接缝和表面平整；混凝土强度满足要求</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10分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发现质量不满足要求的，每处扣1分</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440" w:type="dxa"/>
            <w:noWrap w:val="0"/>
            <w:vAlign w:val="center"/>
          </w:tcPr>
          <w:p>
            <w:pPr>
              <w:adjustRightInd w:val="0"/>
              <w:snapToGrid w:val="0"/>
              <w:rPr>
                <w:rFonts w:ascii="仿宋_GB2312"/>
                <w:sz w:val="18"/>
                <w:szCs w:val="18"/>
              </w:rPr>
            </w:pPr>
            <w:r>
              <w:rPr>
                <w:rFonts w:hint="eastAsia" w:ascii="仿宋_GB2312"/>
                <w:sz w:val="18"/>
                <w:szCs w:val="18"/>
              </w:rPr>
              <w:t>4.养护责任</w:t>
            </w:r>
          </w:p>
        </w:tc>
        <w:tc>
          <w:tcPr>
            <w:tcW w:w="4860" w:type="dxa"/>
            <w:noWrap w:val="0"/>
            <w:vAlign w:val="center"/>
          </w:tcPr>
          <w:p>
            <w:pPr>
              <w:adjustRightInd w:val="0"/>
              <w:snapToGrid w:val="0"/>
              <w:rPr>
                <w:rFonts w:ascii="仿宋_GB2312"/>
                <w:sz w:val="18"/>
                <w:szCs w:val="18"/>
              </w:rPr>
            </w:pPr>
            <w:r>
              <w:rPr>
                <w:rFonts w:hint="eastAsia" w:ascii="仿宋_GB2312"/>
                <w:sz w:val="18"/>
                <w:szCs w:val="18"/>
              </w:rPr>
              <w:t>在规定的时限内按要求完成例行养护任务，每年安排集中修复不小于2次。发现护岸因前沿淘空等大量坍塌或有大量坍塌趋势，应采取打保护桩、清除影响通航的塌方等应急措施，并在7日内进场施工</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10分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未按要求及时完成养护任务，每次扣2分；未及时采取应急措施的扣2分</w:t>
            </w:r>
          </w:p>
        </w:tc>
        <w:tc>
          <w:tcPr>
            <w:tcW w:w="720" w:type="dxa"/>
            <w:noWrap/>
            <w:vAlign w:val="center"/>
          </w:tcPr>
          <w:p>
            <w:pPr>
              <w:widowControl/>
              <w:snapToGrid w:val="0"/>
              <w:jc w:val="left"/>
              <w:rPr>
                <w:rFonts w:ascii="仿宋_GB2312" w:hAnsi="宋体" w:cs="宋体"/>
                <w:kern w:val="0"/>
                <w:sz w:val="18"/>
                <w:szCs w:val="18"/>
              </w:rPr>
            </w:pPr>
          </w:p>
        </w:tc>
        <w:tc>
          <w:tcPr>
            <w:tcW w:w="720" w:type="dxa"/>
            <w:noWrap/>
            <w:vAlign w:val="center"/>
          </w:tcPr>
          <w:p>
            <w:pPr>
              <w:widowControl/>
              <w:snapToGrid w:val="0"/>
              <w:jc w:val="left"/>
              <w:rPr>
                <w:rFonts w:ascii="仿宋_GB2312" w:hAnsi="宋体" w:cs="宋体"/>
                <w:kern w:val="0"/>
                <w:sz w:val="18"/>
                <w:szCs w:val="18"/>
              </w:rPr>
            </w:pPr>
          </w:p>
        </w:tc>
        <w:tc>
          <w:tcPr>
            <w:tcW w:w="540" w:type="dxa"/>
            <w:noWrap/>
            <w:vAlign w:val="center"/>
          </w:tcPr>
          <w:p>
            <w:pPr>
              <w:widowControl/>
              <w:snapToGrid w:val="0"/>
              <w:jc w:val="left"/>
              <w:rPr>
                <w:rFonts w:ascii="仿宋_GB2312"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97" w:type="dxa"/>
            <w:vMerge w:val="restart"/>
            <w:noWrap w:val="0"/>
            <w:vAlign w:val="center"/>
          </w:tcPr>
          <w:p>
            <w:pPr>
              <w:widowControl/>
              <w:adjustRightInd w:val="0"/>
              <w:snapToGrid w:val="0"/>
              <w:jc w:val="left"/>
              <w:rPr>
                <w:rFonts w:ascii="仿宋_GB2312" w:hAnsi="宋体" w:cs="宋体"/>
                <w:kern w:val="0"/>
                <w:sz w:val="18"/>
                <w:szCs w:val="18"/>
              </w:rPr>
            </w:pPr>
            <w:r>
              <w:rPr>
                <w:rFonts w:hint="eastAsia" w:ascii="仿宋_GB2312" w:hAnsi="宋体" w:cs="宋体"/>
                <w:kern w:val="0"/>
                <w:sz w:val="18"/>
                <w:szCs w:val="18"/>
              </w:rPr>
              <w:t>二</w:t>
            </w:r>
          </w:p>
        </w:tc>
        <w:tc>
          <w:tcPr>
            <w:tcW w:w="1114" w:type="dxa"/>
            <w:vMerge w:val="restart"/>
            <w:noWrap w:val="0"/>
            <w:vAlign w:val="center"/>
          </w:tcPr>
          <w:p>
            <w:pPr>
              <w:adjustRightInd w:val="0"/>
              <w:snapToGrid w:val="0"/>
              <w:jc w:val="left"/>
              <w:rPr>
                <w:rFonts w:ascii="仿宋_GB2312" w:hAnsi="宋体" w:cs="宋体"/>
                <w:kern w:val="0"/>
                <w:sz w:val="18"/>
                <w:szCs w:val="18"/>
              </w:rPr>
            </w:pPr>
            <w:r>
              <w:rPr>
                <w:rFonts w:hint="eastAsia" w:ascii="仿宋_GB2312" w:hAnsi="宋体" w:cs="宋体"/>
                <w:kern w:val="0"/>
                <w:sz w:val="18"/>
                <w:szCs w:val="18"/>
              </w:rPr>
              <w:t>航道绿化维护</w:t>
            </w:r>
          </w:p>
          <w:p>
            <w:pPr>
              <w:adjustRightInd w:val="0"/>
              <w:snapToGrid w:val="0"/>
              <w:jc w:val="left"/>
              <w:rPr>
                <w:rFonts w:ascii="仿宋_GB2312" w:hAnsi="宋体" w:cs="宋体"/>
                <w:kern w:val="0"/>
                <w:sz w:val="18"/>
                <w:szCs w:val="18"/>
              </w:rPr>
            </w:pPr>
            <w:r>
              <w:rPr>
                <w:rFonts w:hint="eastAsia" w:ascii="仿宋_GB2312" w:hAnsi="宋体" w:cs="宋体"/>
                <w:kern w:val="0"/>
                <w:sz w:val="18"/>
                <w:szCs w:val="18"/>
              </w:rPr>
              <w:t>（ 40分）</w:t>
            </w:r>
          </w:p>
        </w:tc>
        <w:tc>
          <w:tcPr>
            <w:tcW w:w="1440" w:type="dxa"/>
            <w:noWrap w:val="0"/>
            <w:vAlign w:val="center"/>
          </w:tcPr>
          <w:p>
            <w:pPr>
              <w:adjustRightInd w:val="0"/>
              <w:snapToGrid w:val="0"/>
              <w:rPr>
                <w:rFonts w:ascii="仿宋_GB2312"/>
                <w:sz w:val="18"/>
                <w:szCs w:val="18"/>
              </w:rPr>
            </w:pPr>
            <w:r>
              <w:rPr>
                <w:rFonts w:hint="eastAsia" w:ascii="仿宋_GB2312"/>
                <w:sz w:val="18"/>
                <w:szCs w:val="18"/>
              </w:rPr>
              <w:t>1.树木存活率</w:t>
            </w:r>
          </w:p>
        </w:tc>
        <w:tc>
          <w:tcPr>
            <w:tcW w:w="4860" w:type="dxa"/>
            <w:noWrap w:val="0"/>
            <w:vAlign w:val="center"/>
          </w:tcPr>
          <w:p>
            <w:pPr>
              <w:adjustRightInd w:val="0"/>
              <w:snapToGrid w:val="0"/>
              <w:rPr>
                <w:rFonts w:ascii="仿宋_GB2312"/>
                <w:sz w:val="18"/>
                <w:szCs w:val="18"/>
              </w:rPr>
            </w:pPr>
            <w:r>
              <w:rPr>
                <w:rFonts w:hint="eastAsia" w:ascii="仿宋_GB2312"/>
                <w:sz w:val="18"/>
                <w:szCs w:val="18"/>
              </w:rPr>
              <w:t>树木存活率要求达到95%以上，发现缺损的应根据季节补种</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10分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未及时补种导致树木存活率低于95%的，每低1%扣2分</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440" w:type="dxa"/>
            <w:noWrap w:val="0"/>
            <w:vAlign w:val="center"/>
          </w:tcPr>
          <w:p>
            <w:pPr>
              <w:adjustRightInd w:val="0"/>
              <w:snapToGrid w:val="0"/>
              <w:rPr>
                <w:rFonts w:ascii="仿宋_GB2312"/>
                <w:sz w:val="18"/>
                <w:szCs w:val="18"/>
              </w:rPr>
            </w:pPr>
            <w:r>
              <w:rPr>
                <w:rFonts w:hint="eastAsia" w:ascii="仿宋_GB2312"/>
                <w:sz w:val="18"/>
                <w:szCs w:val="18"/>
              </w:rPr>
              <w:t>2.树木修剪和绿化带环境</w:t>
            </w:r>
          </w:p>
        </w:tc>
        <w:tc>
          <w:tcPr>
            <w:tcW w:w="4860" w:type="dxa"/>
            <w:noWrap w:val="0"/>
            <w:vAlign w:val="center"/>
          </w:tcPr>
          <w:p>
            <w:pPr>
              <w:adjustRightInd w:val="0"/>
              <w:snapToGrid w:val="0"/>
              <w:rPr>
                <w:rFonts w:ascii="仿宋_GB2312"/>
                <w:sz w:val="18"/>
                <w:szCs w:val="18"/>
              </w:rPr>
            </w:pPr>
            <w:r>
              <w:rPr>
                <w:rFonts w:hint="eastAsia" w:ascii="仿宋_GB2312"/>
                <w:sz w:val="18"/>
                <w:szCs w:val="18"/>
              </w:rPr>
              <w:t>根据树木的生长特点修剪，保持树冠完整；片状灌木整形要求灌木顶面、侧面平整；球状灌木整形要求外形美观。树木不得遮挡航道标志，一旦发现应及时修剪或移植。及时清除绿化带内的杂草和垃圾，保持整洁</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10分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树木修剪不符合要求的酌情扣分；树木遮挡航道标志，每处扣0.5分；绿化带内有杂草、垃圾，每发现1处扣0.1分</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440" w:type="dxa"/>
            <w:noWrap w:val="0"/>
            <w:vAlign w:val="center"/>
          </w:tcPr>
          <w:p>
            <w:pPr>
              <w:adjustRightInd w:val="0"/>
              <w:snapToGrid w:val="0"/>
              <w:rPr>
                <w:rFonts w:ascii="仿宋_GB2312"/>
                <w:sz w:val="18"/>
                <w:szCs w:val="18"/>
              </w:rPr>
            </w:pPr>
            <w:r>
              <w:rPr>
                <w:rFonts w:hint="eastAsia" w:ascii="仿宋_GB2312"/>
                <w:sz w:val="18"/>
                <w:szCs w:val="18"/>
              </w:rPr>
              <w:t>3.病虫害防治</w:t>
            </w:r>
          </w:p>
        </w:tc>
        <w:tc>
          <w:tcPr>
            <w:tcW w:w="4860" w:type="dxa"/>
            <w:noWrap w:val="0"/>
            <w:vAlign w:val="center"/>
          </w:tcPr>
          <w:p>
            <w:pPr>
              <w:adjustRightInd w:val="0"/>
              <w:snapToGrid w:val="0"/>
              <w:rPr>
                <w:rFonts w:ascii="仿宋_GB2312"/>
                <w:sz w:val="18"/>
                <w:szCs w:val="18"/>
              </w:rPr>
            </w:pPr>
            <w:r>
              <w:rPr>
                <w:rFonts w:hint="eastAsia" w:ascii="仿宋_GB2312"/>
                <w:sz w:val="18"/>
                <w:szCs w:val="18"/>
              </w:rPr>
              <w:t>病虫害防治及时，严格按操作规程作业，喷洒均匀，无明显病虫</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5分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视病虫害程度扣分，有严重病虫害每处扣1分</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440" w:type="dxa"/>
            <w:noWrap w:val="0"/>
            <w:vAlign w:val="center"/>
          </w:tcPr>
          <w:p>
            <w:pPr>
              <w:adjustRightInd w:val="0"/>
              <w:snapToGrid w:val="0"/>
              <w:rPr>
                <w:rFonts w:ascii="仿宋_GB2312"/>
                <w:sz w:val="18"/>
                <w:szCs w:val="18"/>
              </w:rPr>
            </w:pPr>
            <w:r>
              <w:rPr>
                <w:rFonts w:hint="eastAsia" w:ascii="仿宋_GB2312"/>
                <w:sz w:val="18"/>
                <w:szCs w:val="18"/>
              </w:rPr>
              <w:t>4.冬季养护</w:t>
            </w:r>
          </w:p>
        </w:tc>
        <w:tc>
          <w:tcPr>
            <w:tcW w:w="4860" w:type="dxa"/>
            <w:noWrap w:val="0"/>
            <w:vAlign w:val="center"/>
          </w:tcPr>
          <w:p>
            <w:pPr>
              <w:adjustRightInd w:val="0"/>
              <w:snapToGrid w:val="0"/>
              <w:rPr>
                <w:rFonts w:ascii="仿宋_GB2312"/>
                <w:sz w:val="18"/>
                <w:szCs w:val="18"/>
              </w:rPr>
            </w:pPr>
            <w:r>
              <w:rPr>
                <w:rFonts w:hint="eastAsia" w:ascii="仿宋_GB2312"/>
                <w:sz w:val="18"/>
                <w:szCs w:val="18"/>
              </w:rPr>
              <w:t>冬季对乔木树干基部进行刷白，杀死害虫越冬虫卵</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5分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冬季未刷白扣2分，不符合要求的酌情扣0.5-2分</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440" w:type="dxa"/>
            <w:noWrap w:val="0"/>
            <w:vAlign w:val="center"/>
          </w:tcPr>
          <w:p>
            <w:pPr>
              <w:adjustRightInd w:val="0"/>
              <w:snapToGrid w:val="0"/>
              <w:rPr>
                <w:rFonts w:ascii="仿宋_GB2312"/>
                <w:sz w:val="18"/>
                <w:szCs w:val="18"/>
              </w:rPr>
            </w:pPr>
            <w:r>
              <w:rPr>
                <w:rFonts w:hint="eastAsia" w:ascii="仿宋_GB2312"/>
                <w:sz w:val="18"/>
                <w:szCs w:val="18"/>
              </w:rPr>
              <w:t>5.灌溉施肥</w:t>
            </w:r>
          </w:p>
        </w:tc>
        <w:tc>
          <w:tcPr>
            <w:tcW w:w="4860" w:type="dxa"/>
            <w:noWrap w:val="0"/>
            <w:vAlign w:val="center"/>
          </w:tcPr>
          <w:p>
            <w:pPr>
              <w:adjustRightInd w:val="0"/>
              <w:snapToGrid w:val="0"/>
              <w:rPr>
                <w:rFonts w:ascii="仿宋_GB2312"/>
                <w:sz w:val="18"/>
                <w:szCs w:val="18"/>
              </w:rPr>
            </w:pPr>
            <w:r>
              <w:rPr>
                <w:rFonts w:hint="eastAsia" w:ascii="仿宋_GB2312"/>
                <w:sz w:val="18"/>
                <w:szCs w:val="18"/>
              </w:rPr>
              <w:t>根据树木的种类和生长情况适时施肥，树木生长健壮，色块植物整齐、无残缺</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5分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生长不健壮、色块植物残缺的，每处扣0.2分</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72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c>
          <w:tcPr>
            <w:tcW w:w="540" w:type="dxa"/>
            <w:noWrap/>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0" w:type="auto"/>
            <w:vMerge w:val="continue"/>
            <w:noWrap w:val="0"/>
            <w:vAlign w:val="center"/>
          </w:tcPr>
          <w:p>
            <w:pPr>
              <w:widowControl/>
              <w:jc w:val="left"/>
              <w:rPr>
                <w:rFonts w:ascii="仿宋_GB2312" w:hAnsi="宋体" w:cs="宋体"/>
                <w:kern w:val="0"/>
                <w:sz w:val="18"/>
                <w:szCs w:val="18"/>
              </w:rPr>
            </w:pPr>
          </w:p>
        </w:tc>
        <w:tc>
          <w:tcPr>
            <w:tcW w:w="0" w:type="auto"/>
            <w:vMerge w:val="continue"/>
            <w:noWrap w:val="0"/>
            <w:vAlign w:val="center"/>
          </w:tcPr>
          <w:p>
            <w:pPr>
              <w:widowControl/>
              <w:jc w:val="left"/>
              <w:rPr>
                <w:rFonts w:ascii="仿宋_GB2312" w:hAnsi="宋体" w:cs="宋体"/>
                <w:kern w:val="0"/>
                <w:sz w:val="18"/>
                <w:szCs w:val="18"/>
              </w:rPr>
            </w:pPr>
          </w:p>
        </w:tc>
        <w:tc>
          <w:tcPr>
            <w:tcW w:w="1440" w:type="dxa"/>
            <w:noWrap w:val="0"/>
            <w:vAlign w:val="center"/>
          </w:tcPr>
          <w:p>
            <w:pPr>
              <w:adjustRightInd w:val="0"/>
              <w:snapToGrid w:val="0"/>
              <w:rPr>
                <w:rFonts w:ascii="仿宋_GB2312"/>
                <w:sz w:val="18"/>
                <w:szCs w:val="18"/>
              </w:rPr>
            </w:pPr>
            <w:r>
              <w:rPr>
                <w:rFonts w:hint="eastAsia" w:ascii="仿宋_GB2312"/>
                <w:sz w:val="18"/>
                <w:szCs w:val="18"/>
              </w:rPr>
              <w:t>6.其他管护</w:t>
            </w:r>
          </w:p>
        </w:tc>
        <w:tc>
          <w:tcPr>
            <w:tcW w:w="4860" w:type="dxa"/>
            <w:noWrap w:val="0"/>
            <w:vAlign w:val="center"/>
          </w:tcPr>
          <w:p>
            <w:pPr>
              <w:adjustRightInd w:val="0"/>
              <w:snapToGrid w:val="0"/>
              <w:rPr>
                <w:rFonts w:ascii="仿宋_GB2312"/>
                <w:sz w:val="18"/>
                <w:szCs w:val="18"/>
              </w:rPr>
            </w:pPr>
            <w:r>
              <w:rPr>
                <w:rFonts w:hint="eastAsia" w:ascii="仿宋_GB2312"/>
                <w:sz w:val="18"/>
                <w:szCs w:val="18"/>
              </w:rPr>
              <w:t>加强管护，发现侵绿、毁绿行为时要及时制止并上报。做好灾害性气候的防护工作，发现因灾害性气候、船舶带缆造成树木倒伏的及时扶正</w:t>
            </w:r>
          </w:p>
        </w:tc>
        <w:tc>
          <w:tcPr>
            <w:tcW w:w="1024" w:type="dxa"/>
            <w:noWrap w:val="0"/>
            <w:vAlign w:val="center"/>
          </w:tcPr>
          <w:p>
            <w:pPr>
              <w:adjustRightInd w:val="0"/>
              <w:snapToGrid w:val="0"/>
              <w:jc w:val="center"/>
              <w:rPr>
                <w:rFonts w:ascii="仿宋_GB2312"/>
                <w:sz w:val="18"/>
                <w:szCs w:val="18"/>
              </w:rPr>
            </w:pPr>
            <w:r>
              <w:rPr>
                <w:rFonts w:hint="eastAsia" w:ascii="仿宋_GB2312"/>
                <w:sz w:val="18"/>
                <w:szCs w:val="18"/>
              </w:rPr>
              <w:t>5分</w:t>
            </w:r>
          </w:p>
        </w:tc>
        <w:tc>
          <w:tcPr>
            <w:tcW w:w="3420" w:type="dxa"/>
            <w:noWrap w:val="0"/>
            <w:vAlign w:val="center"/>
          </w:tcPr>
          <w:p>
            <w:pPr>
              <w:adjustRightInd w:val="0"/>
              <w:snapToGrid w:val="0"/>
              <w:rPr>
                <w:rFonts w:ascii="仿宋_GB2312"/>
                <w:sz w:val="18"/>
                <w:szCs w:val="18"/>
              </w:rPr>
            </w:pPr>
            <w:r>
              <w:rPr>
                <w:rFonts w:hint="eastAsia" w:ascii="仿宋_GB2312"/>
                <w:sz w:val="18"/>
                <w:szCs w:val="18"/>
              </w:rPr>
              <w:t>已征用土地上发现侵绿、毁绿行为时未及时制止每次扣0.5分；树木倒伏不及时扶正，每棵扣0.1分</w:t>
            </w:r>
          </w:p>
        </w:tc>
        <w:tc>
          <w:tcPr>
            <w:tcW w:w="720" w:type="dxa"/>
            <w:noWrap w:val="0"/>
            <w:vAlign w:val="center"/>
          </w:tcPr>
          <w:p>
            <w:pPr>
              <w:widowControl/>
              <w:snapToGrid w:val="0"/>
              <w:jc w:val="left"/>
              <w:rPr>
                <w:rFonts w:ascii="仿宋_GB2312" w:hAnsi="宋体" w:cs="宋体"/>
                <w:kern w:val="0"/>
                <w:sz w:val="18"/>
                <w:szCs w:val="18"/>
              </w:rPr>
            </w:pPr>
          </w:p>
        </w:tc>
        <w:tc>
          <w:tcPr>
            <w:tcW w:w="720" w:type="dxa"/>
            <w:noWrap w:val="0"/>
            <w:vAlign w:val="center"/>
          </w:tcPr>
          <w:p>
            <w:pPr>
              <w:widowControl/>
              <w:snapToGrid w:val="0"/>
              <w:jc w:val="left"/>
              <w:rPr>
                <w:rFonts w:ascii="仿宋_GB2312" w:hAnsi="宋体" w:cs="宋体"/>
                <w:kern w:val="0"/>
                <w:sz w:val="18"/>
                <w:szCs w:val="18"/>
              </w:rPr>
            </w:pPr>
          </w:p>
        </w:tc>
        <w:tc>
          <w:tcPr>
            <w:tcW w:w="540" w:type="dxa"/>
            <w:noWrap w:val="0"/>
            <w:vAlign w:val="center"/>
          </w:tcPr>
          <w:p>
            <w:pPr>
              <w:widowControl/>
              <w:snapToGrid w:val="0"/>
              <w:jc w:val="left"/>
              <w:rPr>
                <w:rFonts w:ascii="仿宋_GB2312" w:hAnsi="宋体" w:cs="宋体"/>
                <w:kern w:val="0"/>
                <w:sz w:val="18"/>
                <w:szCs w:val="18"/>
              </w:rPr>
            </w:pPr>
            <w:r>
              <w:rPr>
                <w:rFonts w:hint="eastAsia" w:ascii="仿宋_GB2312" w:hAnsi="宋体" w:cs="宋体"/>
                <w:kern w:val="0"/>
                <w:sz w:val="18"/>
                <w:szCs w:val="18"/>
              </w:rPr>
              <w:t>　</w:t>
            </w:r>
          </w:p>
        </w:tc>
      </w:tr>
    </w:tbl>
    <w:p>
      <w:pPr>
        <w:pBdr>
          <w:bottom w:val="single" w:color="auto" w:sz="8" w:space="1"/>
        </w:pBdr>
        <w:jc w:val="left"/>
        <w:rPr>
          <w:szCs w:val="32"/>
        </w:rPr>
        <w:sectPr>
          <w:pgSz w:w="16838" w:h="11906" w:orient="landscape"/>
          <w:pgMar w:top="1588" w:right="2098" w:bottom="1474" w:left="1985" w:header="851" w:footer="1418" w:gutter="0"/>
          <w:cols w:space="425" w:num="1"/>
          <w:docGrid w:type="linesAndChars" w:linePitch="579" w:charSpace="-1266"/>
        </w:sectPr>
      </w:pPr>
      <w:bookmarkStart w:id="0" w:name="_GoBack"/>
      <w:bookmarkEnd w:id="0"/>
    </w:p>
    <w:p>
      <w:pPr>
        <w:pBdr>
          <w:bottom w:val="single" w:color="auto" w:sz="8" w:space="1"/>
        </w:pBdr>
        <w:jc w:val="left"/>
        <w:rPr>
          <w:rFonts w:hint="eastAsia"/>
          <w:szCs w:val="32"/>
        </w:rPr>
      </w:pPr>
    </w:p>
    <w:p>
      <w:pPr>
        <w:pBdr>
          <w:bottom w:val="single" w:color="auto" w:sz="8" w:space="1"/>
        </w:pBdr>
        <w:jc w:val="left"/>
        <w:rPr>
          <w:rFonts w:hint="eastAsia"/>
          <w:szCs w:val="32"/>
        </w:rPr>
      </w:pPr>
    </w:p>
    <w:p>
      <w:pPr>
        <w:pBdr>
          <w:bottom w:val="single" w:color="auto" w:sz="8" w:space="1"/>
        </w:pBdr>
        <w:jc w:val="left"/>
        <w:rPr>
          <w:rFonts w:hint="eastAsia"/>
          <w:szCs w:val="32"/>
        </w:rPr>
      </w:pPr>
    </w:p>
    <w:p>
      <w:pPr>
        <w:pBdr>
          <w:bottom w:val="single" w:color="auto" w:sz="8" w:space="1"/>
        </w:pBdr>
        <w:jc w:val="left"/>
        <w:rPr>
          <w:rFonts w:hint="eastAsia"/>
          <w:szCs w:val="32"/>
        </w:rPr>
      </w:pPr>
    </w:p>
    <w:p>
      <w:pPr>
        <w:pBdr>
          <w:bottom w:val="single" w:color="auto" w:sz="8" w:space="1"/>
        </w:pBdr>
        <w:jc w:val="left"/>
        <w:rPr>
          <w:rFonts w:hint="eastAsia"/>
          <w:szCs w:val="32"/>
        </w:rPr>
      </w:pPr>
    </w:p>
    <w:p>
      <w:pPr>
        <w:pBdr>
          <w:bottom w:val="single" w:color="auto" w:sz="8" w:space="1"/>
        </w:pBdr>
        <w:jc w:val="left"/>
        <w:rPr>
          <w:rFonts w:hint="eastAsia"/>
          <w:szCs w:val="32"/>
        </w:rPr>
      </w:pPr>
    </w:p>
    <w:p>
      <w:pPr>
        <w:pBdr>
          <w:bottom w:val="single" w:color="auto" w:sz="8" w:space="1"/>
        </w:pBdr>
        <w:spacing w:line="560" w:lineRule="exact"/>
        <w:jc w:val="left"/>
        <w:rPr>
          <w:rFonts w:hint="eastAsia"/>
          <w:szCs w:val="32"/>
        </w:rPr>
      </w:pPr>
    </w:p>
    <w:p>
      <w:pPr>
        <w:pBdr>
          <w:bottom w:val="single" w:color="auto" w:sz="8" w:space="1"/>
        </w:pBdr>
        <w:spacing w:line="560" w:lineRule="exact"/>
        <w:jc w:val="left"/>
        <w:rPr>
          <w:rFonts w:hint="eastAsia"/>
          <w:szCs w:val="32"/>
        </w:rPr>
      </w:pPr>
    </w:p>
    <w:p>
      <w:pPr>
        <w:pBdr>
          <w:bottom w:val="single" w:color="auto" w:sz="8" w:space="1"/>
        </w:pBdr>
        <w:spacing w:line="560" w:lineRule="exact"/>
        <w:jc w:val="left"/>
        <w:rPr>
          <w:rFonts w:hint="eastAsia"/>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2386F"/>
    <w:rsid w:val="59A2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
    <w:pPr>
      <w:keepNext/>
      <w:keepLines/>
      <w:spacing w:line="360" w:lineRule="auto"/>
      <w:ind w:firstLine="200" w:firstLineChars="200"/>
      <w:jc w:val="left"/>
      <w:outlineLvl w:val="0"/>
    </w:pPr>
    <w:rPr>
      <w:rFonts w:eastAsia="黑体"/>
      <w:bCs/>
      <w:kern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spacing w:line="580" w:lineRule="exact"/>
      <w:ind w:firstLine="628" w:firstLineChars="200"/>
      <w:jc w:val="left"/>
      <w:outlineLvl w:val="0"/>
    </w:pPr>
    <w:rPr>
      <w:rFonts w:ascii="黑体" w:hAnsi="黑体" w:eastAsia="黑体"/>
      <w:bCs/>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2021-09-27T02:48:00Z</dcterms:created>
  <dc:creator>dell</dc:creator>
  <cp:lastModifiedBy>dell</cp:lastModifiedBy>
  <dcterms:modified xsi:type="dcterms:W3CDTF">2021-09-27T02:48:44Z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2111A2B7D8504C1DBC75413836B2D77D</vt:lpwstr>
  </property>
</Properties>
</file>