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rPr>
      </w:pPr>
      <w:bookmarkStart w:id="1" w:name="_GoBack"/>
      <w:r>
        <w:rPr>
          <w:rFonts w:hint="eastAsia" w:ascii="方正小标宋简体" w:eastAsia="方正小标宋简体"/>
          <w:sz w:val="44"/>
          <w:szCs w:val="44"/>
        </w:rPr>
        <w:t>浙江省全面推广高速公路差异化收费实施方案</w:t>
      </w:r>
    </w:p>
    <w:bookmarkEnd w:id="1"/>
    <w:p>
      <w:pPr>
        <w:spacing w:line="580" w:lineRule="exact"/>
        <w:jc w:val="center"/>
        <w:rPr>
          <w:b/>
          <w:szCs w:val="32"/>
        </w:rPr>
      </w:pPr>
    </w:p>
    <w:p>
      <w:pPr>
        <w:spacing w:line="580" w:lineRule="exact"/>
        <w:ind w:firstLine="640" w:firstLineChars="200"/>
        <w:rPr>
          <w:szCs w:val="32"/>
        </w:rPr>
      </w:pPr>
      <w:r>
        <w:rPr>
          <w:szCs w:val="32"/>
        </w:rPr>
        <w:t>为规范有序推进我省高速公路差异化收费工作，进一步提升高速公路通行效率和服务水平，促进物流降本增效，根据《交通运输部 国家发展改革委 财政部关于印发</w:t>
      </w:r>
      <w:r>
        <w:rPr>
          <w:rFonts w:hint="eastAsia" w:ascii="仿宋_GB2312"/>
          <w:szCs w:val="32"/>
        </w:rPr>
        <w:t>&lt;</w:t>
      </w:r>
      <w:r>
        <w:rPr>
          <w:szCs w:val="32"/>
        </w:rPr>
        <w:t>全面推广高速公路差异化收费实施方案</w:t>
      </w:r>
      <w:r>
        <w:rPr>
          <w:rFonts w:hint="eastAsia" w:ascii="仿宋_GB2312"/>
          <w:szCs w:val="32"/>
        </w:rPr>
        <w:t>&gt;</w:t>
      </w:r>
      <w:r>
        <w:rPr>
          <w:szCs w:val="32"/>
        </w:rPr>
        <w:t>的通知》（交公路函〔</w:t>
      </w:r>
      <w:r>
        <w:rPr>
          <w:rFonts w:hint="eastAsia" w:ascii="仿宋_GB2312"/>
          <w:szCs w:val="32"/>
        </w:rPr>
        <w:t>2021〕228号</w:t>
      </w:r>
      <w:r>
        <w:rPr>
          <w:szCs w:val="32"/>
        </w:rPr>
        <w:t xml:space="preserve">），特制定本实施方案。 </w:t>
      </w:r>
    </w:p>
    <w:p>
      <w:pPr>
        <w:spacing w:line="580" w:lineRule="exact"/>
        <w:ind w:firstLine="640" w:firstLineChars="200"/>
        <w:rPr>
          <w:rFonts w:eastAsia="黑体"/>
          <w:szCs w:val="32"/>
        </w:rPr>
      </w:pPr>
      <w:r>
        <w:rPr>
          <w:rFonts w:eastAsia="黑体"/>
          <w:szCs w:val="32"/>
        </w:rPr>
        <w:t>一、总体要求</w:t>
      </w:r>
    </w:p>
    <w:p>
      <w:pPr>
        <w:spacing w:line="580" w:lineRule="exact"/>
        <w:ind w:firstLine="640" w:firstLineChars="200"/>
        <w:rPr>
          <w:szCs w:val="32"/>
        </w:rPr>
      </w:pPr>
      <w:r>
        <w:rPr>
          <w:szCs w:val="32"/>
        </w:rPr>
        <w:t>以习近平新时代中国特色社会主义思想为指导，深入贯彻落实</w:t>
      </w:r>
      <w:r>
        <w:rPr>
          <w:rFonts w:hint="eastAsia"/>
          <w:szCs w:val="32"/>
        </w:rPr>
        <w:t>党</w:t>
      </w:r>
      <w:r>
        <w:rPr>
          <w:szCs w:val="32"/>
        </w:rPr>
        <w:t>中央和省委省政府关于高质量发展建设共同富裕示范区决策部署，坚持以人民为中心，</w:t>
      </w:r>
      <w:r>
        <w:rPr>
          <w:rFonts w:hint="eastAsia"/>
          <w:szCs w:val="32"/>
        </w:rPr>
        <w:t>全面推广</w:t>
      </w:r>
      <w:r>
        <w:rPr>
          <w:szCs w:val="32"/>
        </w:rPr>
        <w:t>高速公路差异化收费，完善高速公路差异化收费长效机制，提高出行效率，提升服务品质，降低出行成本，实现</w:t>
      </w:r>
      <w:r>
        <w:rPr>
          <w:rFonts w:hint="eastAsia"/>
          <w:szCs w:val="32"/>
        </w:rPr>
        <w:t>互惠</w:t>
      </w:r>
      <w:r>
        <w:rPr>
          <w:szCs w:val="32"/>
        </w:rPr>
        <w:t>共赢，有效推进收费公路供给侧结构性改革，加快建设高水平交通强省。</w:t>
      </w:r>
    </w:p>
    <w:p>
      <w:pPr>
        <w:spacing w:line="580" w:lineRule="exact"/>
        <w:ind w:firstLine="640" w:firstLineChars="200"/>
        <w:rPr>
          <w:szCs w:val="32"/>
        </w:rPr>
      </w:pPr>
      <w:r>
        <w:rPr>
          <w:szCs w:val="32"/>
        </w:rPr>
        <w:t>为平稳有序实施差异化收费，一般应遵循以下原则：</w:t>
      </w:r>
    </w:p>
    <w:p>
      <w:pPr>
        <w:spacing w:line="580" w:lineRule="exact"/>
        <w:ind w:firstLine="640" w:firstLineChars="200"/>
        <w:rPr>
          <w:szCs w:val="32"/>
        </w:rPr>
      </w:pPr>
      <w:r>
        <w:rPr>
          <w:szCs w:val="32"/>
        </w:rPr>
        <w:t>——</w:t>
      </w:r>
      <w:r>
        <w:rPr>
          <w:rFonts w:eastAsia="楷体_GB2312"/>
          <w:szCs w:val="32"/>
        </w:rPr>
        <w:t>坚持政府引导、合力推动。</w:t>
      </w:r>
      <w:r>
        <w:rPr>
          <w:szCs w:val="32"/>
        </w:rPr>
        <w:t>突出政府引导作用，加强沟通协调，鼓励高速公路经营单位自主积极参与，协同科学高效推广</w:t>
      </w:r>
      <w:r>
        <w:rPr>
          <w:rFonts w:hint="eastAsia"/>
          <w:szCs w:val="32"/>
        </w:rPr>
        <w:t>高速公路</w:t>
      </w:r>
      <w:r>
        <w:rPr>
          <w:szCs w:val="32"/>
        </w:rPr>
        <w:t>差异化收费，不断提升公路网资源综合利用效率。</w:t>
      </w:r>
    </w:p>
    <w:p>
      <w:pPr>
        <w:spacing w:line="580" w:lineRule="exact"/>
        <w:ind w:firstLine="640" w:firstLineChars="200"/>
        <w:rPr>
          <w:szCs w:val="32"/>
        </w:rPr>
      </w:pPr>
      <w:r>
        <w:rPr>
          <w:szCs w:val="32"/>
        </w:rPr>
        <w:t>——</w:t>
      </w:r>
      <w:r>
        <w:rPr>
          <w:rFonts w:eastAsia="楷体_GB2312"/>
          <w:szCs w:val="32"/>
        </w:rPr>
        <w:t>坚持因地制宜、分类施策。</w:t>
      </w:r>
      <w:r>
        <w:rPr>
          <w:szCs w:val="32"/>
        </w:rPr>
        <w:t>指导各地、各路段因地制宜、因路制宜，深入分析研究测算，</w:t>
      </w:r>
      <w:r>
        <w:rPr>
          <w:rFonts w:hint="eastAsia"/>
          <w:szCs w:val="32"/>
        </w:rPr>
        <w:t>在不削弱高速公路偿债能力的基础上，</w:t>
      </w:r>
      <w:r>
        <w:rPr>
          <w:szCs w:val="32"/>
        </w:rPr>
        <w:t>分类精准施策，探索实施适合本地、本路段特点的</w:t>
      </w:r>
      <w:r>
        <w:rPr>
          <w:rFonts w:hint="eastAsia"/>
          <w:szCs w:val="32"/>
        </w:rPr>
        <w:t>高速公路</w:t>
      </w:r>
      <w:r>
        <w:rPr>
          <w:szCs w:val="32"/>
        </w:rPr>
        <w:t>差异化收费模式和配套政策措施，充分发挥调流、降费、提效的功能，务求取得实效。</w:t>
      </w:r>
    </w:p>
    <w:p>
      <w:pPr>
        <w:spacing w:line="580" w:lineRule="exact"/>
        <w:ind w:firstLine="640" w:firstLineChars="200"/>
        <w:rPr>
          <w:szCs w:val="32"/>
        </w:rPr>
      </w:pPr>
      <w:r>
        <w:rPr>
          <w:szCs w:val="32"/>
        </w:rPr>
        <w:t>——</w:t>
      </w:r>
      <w:r>
        <w:rPr>
          <w:rFonts w:eastAsia="楷体_GB2312"/>
          <w:szCs w:val="32"/>
        </w:rPr>
        <w:t>坚持减负降本、多方共赢。</w:t>
      </w:r>
      <w:r>
        <w:rPr>
          <w:szCs w:val="32"/>
        </w:rPr>
        <w:t>以现行收费标准为上限，通过差异化收费，适当下调车辆通行费，促进物流业降本增效，减轻社会负担。</w:t>
      </w:r>
      <w:r>
        <w:rPr>
          <w:rFonts w:hint="eastAsia"/>
          <w:szCs w:val="32"/>
        </w:rPr>
        <w:t>针</w:t>
      </w:r>
      <w:r>
        <w:rPr>
          <w:szCs w:val="32"/>
        </w:rPr>
        <w:t>对</w:t>
      </w:r>
      <w:r>
        <w:rPr>
          <w:rFonts w:hint="eastAsia"/>
          <w:szCs w:val="32"/>
        </w:rPr>
        <w:t>由</w:t>
      </w:r>
      <w:r>
        <w:rPr>
          <w:szCs w:val="32"/>
        </w:rPr>
        <w:t>采取政府购买服务等第三方支付方式实施的差异化收费</w:t>
      </w:r>
      <w:r>
        <w:rPr>
          <w:rFonts w:hint="eastAsia"/>
          <w:szCs w:val="32"/>
        </w:rPr>
        <w:t>引起</w:t>
      </w:r>
      <w:r>
        <w:rPr>
          <w:szCs w:val="32"/>
        </w:rPr>
        <w:t>新增交通流量部分的通行费</w:t>
      </w:r>
      <w:r>
        <w:rPr>
          <w:rFonts w:hint="eastAsia"/>
          <w:szCs w:val="32"/>
        </w:rPr>
        <w:t>，</w:t>
      </w:r>
      <w:r>
        <w:rPr>
          <w:szCs w:val="32"/>
        </w:rPr>
        <w:t>鼓励高速公路经营单位予以一定优惠。</w:t>
      </w:r>
    </w:p>
    <w:p>
      <w:pPr>
        <w:spacing w:line="580" w:lineRule="exact"/>
        <w:ind w:firstLine="640" w:firstLineChars="200"/>
        <w:rPr>
          <w:rFonts w:eastAsia="黑体"/>
          <w:szCs w:val="32"/>
        </w:rPr>
      </w:pPr>
      <w:r>
        <w:rPr>
          <w:rFonts w:eastAsia="黑体"/>
          <w:szCs w:val="32"/>
        </w:rPr>
        <w:t>二、工作任务</w:t>
      </w:r>
    </w:p>
    <w:p>
      <w:pPr>
        <w:spacing w:line="580" w:lineRule="exact"/>
        <w:ind w:firstLine="640" w:firstLineChars="200"/>
        <w:rPr>
          <w:szCs w:val="32"/>
        </w:rPr>
      </w:pPr>
      <w:r>
        <w:rPr>
          <w:rFonts w:eastAsia="楷体_GB2312"/>
          <w:szCs w:val="32"/>
        </w:rPr>
        <w:t>（一）继续实施现有差异化收费政策。</w:t>
      </w:r>
      <w:r>
        <w:rPr>
          <w:szCs w:val="32"/>
        </w:rPr>
        <w:t>发挥我省高速公路差异化收费试点省份先发优势，继续实施好现有差异化收费政策（详见附件</w:t>
      </w:r>
      <w:r>
        <w:rPr>
          <w:rFonts w:hint="eastAsia" w:ascii="仿宋_GB2312"/>
          <w:szCs w:val="32"/>
        </w:rPr>
        <w:t>1</w:t>
      </w:r>
      <w:r>
        <w:rPr>
          <w:szCs w:val="32"/>
        </w:rPr>
        <w:t>），并加强分析评估、适时迭代优化。</w:t>
      </w:r>
    </w:p>
    <w:p>
      <w:pPr>
        <w:spacing w:line="580" w:lineRule="exact"/>
        <w:ind w:firstLine="640" w:firstLineChars="200"/>
        <w:rPr>
          <w:szCs w:val="32"/>
        </w:rPr>
      </w:pPr>
      <w:r>
        <w:rPr>
          <w:rFonts w:eastAsia="楷体_GB2312"/>
          <w:szCs w:val="32"/>
        </w:rPr>
        <w:t>（二）积极开拓差异化收费项目。</w:t>
      </w:r>
      <w:r>
        <w:rPr>
          <w:szCs w:val="32"/>
        </w:rPr>
        <w:t>结合我省高速公路网运行实际，重点推进与改扩建高速公路平行路段、交通量明显低于设计能力路段、普通国省干线公路或城市道路拥堵严重但平行高速公路交通流量较小路段等高速公路的差异化收费工作，合理选择分路段、分车型（类）、分时段、分出入口、分方向、分支付方式等灵活组合的</w:t>
      </w:r>
      <w:r>
        <w:rPr>
          <w:rFonts w:hint="eastAsia"/>
          <w:szCs w:val="32"/>
        </w:rPr>
        <w:t>高速公路</w:t>
      </w:r>
      <w:r>
        <w:rPr>
          <w:szCs w:val="32"/>
        </w:rPr>
        <w:t>差异化收费方式，稳步推进</w:t>
      </w:r>
      <w:r>
        <w:rPr>
          <w:rFonts w:hint="eastAsia"/>
          <w:szCs w:val="32"/>
        </w:rPr>
        <w:t>我省高速公路</w:t>
      </w:r>
      <w:r>
        <w:rPr>
          <w:szCs w:val="32"/>
        </w:rPr>
        <w:t>差异化收费工作。</w:t>
      </w:r>
      <w:r>
        <w:rPr>
          <w:rFonts w:hint="eastAsia"/>
          <w:szCs w:val="32"/>
        </w:rPr>
        <w:t>（</w:t>
      </w:r>
      <w:r>
        <w:rPr>
          <w:szCs w:val="32"/>
        </w:rPr>
        <w:t>实施要点详见附件</w:t>
      </w:r>
      <w:r>
        <w:rPr>
          <w:rFonts w:hint="eastAsia" w:ascii="仿宋_GB2312"/>
          <w:szCs w:val="32"/>
        </w:rPr>
        <w:t>2</w:t>
      </w:r>
      <w:r>
        <w:rPr>
          <w:rFonts w:hint="eastAsia"/>
          <w:szCs w:val="32"/>
        </w:rPr>
        <w:t>）</w:t>
      </w:r>
      <w:r>
        <w:rPr>
          <w:szCs w:val="32"/>
        </w:rPr>
        <w:t>。</w:t>
      </w:r>
    </w:p>
    <w:p>
      <w:pPr>
        <w:spacing w:line="580" w:lineRule="exact"/>
        <w:ind w:firstLine="640" w:firstLineChars="200"/>
        <w:rPr>
          <w:szCs w:val="32"/>
        </w:rPr>
      </w:pPr>
      <w:r>
        <w:rPr>
          <w:rFonts w:eastAsia="楷体_GB2312"/>
          <w:szCs w:val="32"/>
        </w:rPr>
        <w:t>（三）探索建立差异化收费政策动态调整机制。</w:t>
      </w:r>
      <w:r>
        <w:rPr>
          <w:szCs w:val="32"/>
        </w:rPr>
        <w:t>选择</w:t>
      </w:r>
      <w:r>
        <w:rPr>
          <w:rFonts w:hint="eastAsia"/>
          <w:szCs w:val="32"/>
        </w:rPr>
        <w:t>条件成熟</w:t>
      </w:r>
      <w:r>
        <w:rPr>
          <w:szCs w:val="32"/>
        </w:rPr>
        <w:t>的</w:t>
      </w:r>
      <w:r>
        <w:rPr>
          <w:rFonts w:hint="eastAsia"/>
          <w:szCs w:val="32"/>
        </w:rPr>
        <w:t>经营性</w:t>
      </w:r>
      <w:r>
        <w:rPr>
          <w:szCs w:val="32"/>
        </w:rPr>
        <w:t>高速公路试行车辆通行费政府指导价，探索建立差异化收费政策优惠幅度动态调整机制</w:t>
      </w:r>
      <w:r>
        <w:rPr>
          <w:rFonts w:hint="eastAsia"/>
          <w:szCs w:val="32"/>
          <w:lang w:eastAsia="zh-CN"/>
        </w:rPr>
        <w:t>。经省政府同意，</w:t>
      </w:r>
      <w:r>
        <w:rPr>
          <w:szCs w:val="32"/>
        </w:rPr>
        <w:t>以批准的优惠幅度为基准，允许高速公路经营单位适当提高优惠幅度，增强</w:t>
      </w:r>
      <w:r>
        <w:rPr>
          <w:rFonts w:hint="eastAsia"/>
          <w:szCs w:val="32"/>
        </w:rPr>
        <w:t>高速公路</w:t>
      </w:r>
      <w:r>
        <w:rPr>
          <w:szCs w:val="32"/>
        </w:rPr>
        <w:t>差异化收费政策吸引力，扩大受惠面。</w:t>
      </w:r>
    </w:p>
    <w:p>
      <w:pPr>
        <w:spacing w:line="580" w:lineRule="exact"/>
        <w:ind w:firstLine="800" w:firstLineChars="250"/>
        <w:rPr>
          <w:rFonts w:eastAsia="黑体"/>
          <w:szCs w:val="32"/>
        </w:rPr>
      </w:pPr>
      <w:r>
        <w:rPr>
          <w:rFonts w:eastAsia="黑体"/>
          <w:szCs w:val="32"/>
        </w:rPr>
        <w:t>三、工作流程和要求</w:t>
      </w:r>
    </w:p>
    <w:p>
      <w:pPr>
        <w:autoSpaceDE w:val="0"/>
        <w:autoSpaceDN w:val="0"/>
        <w:adjustRightInd w:val="0"/>
        <w:spacing w:line="580" w:lineRule="exact"/>
        <w:ind w:firstLine="624" w:firstLineChars="200"/>
        <w:rPr>
          <w:spacing w:val="-4"/>
          <w:szCs w:val="32"/>
        </w:rPr>
      </w:pPr>
      <w:r>
        <w:rPr>
          <w:rFonts w:eastAsia="楷体_GB2312"/>
          <w:spacing w:val="-4"/>
          <w:szCs w:val="32"/>
        </w:rPr>
        <w:t>（一）科学制定具体方案。</w:t>
      </w:r>
      <w:r>
        <w:rPr>
          <w:szCs w:val="32"/>
        </w:rPr>
        <w:t>高速公路差异化收费涉及面广、影响面大，实施单位在</w:t>
      </w:r>
      <w:r>
        <w:rPr>
          <w:spacing w:val="-4"/>
          <w:szCs w:val="32"/>
        </w:rPr>
        <w:t>方案制定过程中，要</w:t>
      </w:r>
      <w:r>
        <w:rPr>
          <w:szCs w:val="32"/>
        </w:rPr>
        <w:t>充分听取各方意见，</w:t>
      </w:r>
      <w:r>
        <w:rPr>
          <w:spacing w:val="-4"/>
          <w:szCs w:val="32"/>
        </w:rPr>
        <w:t>加强与地方政府和省级有关部门沟通联系，确保政策能实施、有实效</w:t>
      </w:r>
      <w:r>
        <w:rPr>
          <w:rFonts w:hint="eastAsia"/>
          <w:spacing w:val="-4"/>
          <w:szCs w:val="32"/>
        </w:rPr>
        <w:t>，并符合相关法规规定和公平竞争审查制度要求</w:t>
      </w:r>
      <w:r>
        <w:rPr>
          <w:spacing w:val="-4"/>
          <w:szCs w:val="32"/>
        </w:rPr>
        <w:t>。</w:t>
      </w:r>
      <w:r>
        <w:rPr>
          <w:szCs w:val="32"/>
        </w:rPr>
        <w:t>对于在同一区域或同一高速公路路段实施的多项差异化收费政策，要加强统筹协调，合理优化方案。为避免</w:t>
      </w:r>
      <w:r>
        <w:rPr>
          <w:rFonts w:hint="eastAsia"/>
          <w:szCs w:val="32"/>
        </w:rPr>
        <w:t>高速公路</w:t>
      </w:r>
      <w:r>
        <w:rPr>
          <w:szCs w:val="32"/>
        </w:rPr>
        <w:t>通行费收费费率频繁调整对公众造成不便，每种</w:t>
      </w:r>
      <w:r>
        <w:rPr>
          <w:rFonts w:hint="eastAsia"/>
          <w:szCs w:val="32"/>
        </w:rPr>
        <w:t>高速公路</w:t>
      </w:r>
      <w:r>
        <w:rPr>
          <w:szCs w:val="32"/>
        </w:rPr>
        <w:t>差异化收费方案的试行时间原则上不少于一年。</w:t>
      </w:r>
    </w:p>
    <w:p>
      <w:pPr>
        <w:autoSpaceDE w:val="0"/>
        <w:autoSpaceDN w:val="0"/>
        <w:adjustRightInd w:val="0"/>
        <w:spacing w:line="580" w:lineRule="exact"/>
        <w:ind w:firstLine="640" w:firstLineChars="200"/>
        <w:rPr>
          <w:spacing w:val="-4"/>
          <w:szCs w:val="32"/>
        </w:rPr>
      </w:pPr>
      <w:r>
        <w:rPr>
          <w:rFonts w:eastAsia="楷体_GB2312"/>
          <w:szCs w:val="32"/>
        </w:rPr>
        <w:t>（二）积极开展两项评估。</w:t>
      </w:r>
      <w:r>
        <w:rPr>
          <w:szCs w:val="32"/>
        </w:rPr>
        <w:t>新增</w:t>
      </w:r>
      <w:r>
        <w:rPr>
          <w:rFonts w:hint="eastAsia"/>
          <w:szCs w:val="32"/>
        </w:rPr>
        <w:t>高速公路</w:t>
      </w:r>
      <w:r>
        <w:rPr>
          <w:szCs w:val="32"/>
        </w:rPr>
        <w:t>差异化收费政策，实施单位要认真开展交通影响评估和社会风险评估，确保政策实施后，不因流量增加出现高速公路服务水平明显下降</w:t>
      </w:r>
      <w:r>
        <w:rPr>
          <w:rFonts w:hint="eastAsia"/>
          <w:szCs w:val="32"/>
          <w:lang w:eastAsia="zh-CN"/>
        </w:rPr>
        <w:t>（</w:t>
      </w:r>
      <w:r>
        <w:rPr>
          <w:szCs w:val="32"/>
        </w:rPr>
        <w:t>原则上不低于三级服务水平</w:t>
      </w:r>
      <w:r>
        <w:rPr>
          <w:rFonts w:hint="eastAsia"/>
          <w:szCs w:val="32"/>
          <w:lang w:eastAsia="zh-CN"/>
        </w:rPr>
        <w:t>）</w:t>
      </w:r>
      <w:r>
        <w:rPr>
          <w:szCs w:val="32"/>
        </w:rPr>
        <w:t>。</w:t>
      </w:r>
    </w:p>
    <w:p>
      <w:pPr>
        <w:autoSpaceDE w:val="0"/>
        <w:autoSpaceDN w:val="0"/>
        <w:adjustRightInd w:val="0"/>
        <w:spacing w:line="580" w:lineRule="exact"/>
        <w:ind w:firstLine="624" w:firstLineChars="200"/>
        <w:rPr>
          <w:spacing w:val="-4"/>
          <w:szCs w:val="32"/>
        </w:rPr>
      </w:pPr>
      <w:r>
        <w:rPr>
          <w:rFonts w:eastAsia="楷体_GB2312"/>
          <w:spacing w:val="-4"/>
          <w:szCs w:val="32"/>
        </w:rPr>
        <w:t>（三）规范上报审批程序。</w:t>
      </w:r>
      <w:r>
        <w:rPr>
          <w:spacing w:val="-4"/>
          <w:szCs w:val="32"/>
        </w:rPr>
        <w:t>由设区市人民政府或省交通集团组织高速公路经营单位拟定</w:t>
      </w:r>
      <w:r>
        <w:rPr>
          <w:rFonts w:hint="eastAsia"/>
          <w:spacing w:val="-4"/>
          <w:szCs w:val="32"/>
        </w:rPr>
        <w:t>高速公路差异化收费方案</w:t>
      </w:r>
      <w:r>
        <w:rPr>
          <w:spacing w:val="-4"/>
          <w:szCs w:val="32"/>
        </w:rPr>
        <w:t>，按规定程序</w:t>
      </w:r>
      <w:r>
        <w:rPr>
          <w:rFonts w:hint="eastAsia"/>
          <w:spacing w:val="-4"/>
          <w:szCs w:val="32"/>
        </w:rPr>
        <w:t>上</w:t>
      </w:r>
      <w:r>
        <w:rPr>
          <w:spacing w:val="-4"/>
          <w:szCs w:val="32"/>
        </w:rPr>
        <w:t>报</w:t>
      </w:r>
      <w:r>
        <w:rPr>
          <w:rFonts w:hint="eastAsia"/>
          <w:spacing w:val="-4"/>
          <w:szCs w:val="32"/>
        </w:rPr>
        <w:t>省政府，并抄送省交通运输厅，由省交通运输厅会</w:t>
      </w:r>
      <w:r>
        <w:rPr>
          <w:spacing w:val="-4"/>
          <w:szCs w:val="32"/>
        </w:rPr>
        <w:t>同有关部门统一汇总</w:t>
      </w:r>
      <w:r>
        <w:rPr>
          <w:rFonts w:hint="eastAsia"/>
          <w:spacing w:val="-4"/>
          <w:szCs w:val="32"/>
        </w:rPr>
        <w:t>并审核，经</w:t>
      </w:r>
      <w:r>
        <w:rPr>
          <w:spacing w:val="-4"/>
          <w:szCs w:val="32"/>
        </w:rPr>
        <w:t>省政府批准后实施。交通影响评估、社会风险评估、应急预案以及相关协议（方案和协议中应明确收费系统软、硬件设施改造内容及费用承担单位）等随文报送。</w:t>
      </w:r>
      <w:r>
        <w:t>通过政府购买服务方式对经营性高速公路实施差异化收费的，要按照合同或协议约定，落实相关保障政策，依法保护各方合法权益。</w:t>
      </w:r>
    </w:p>
    <w:p>
      <w:pPr>
        <w:spacing w:line="580" w:lineRule="exact"/>
        <w:ind w:firstLine="624" w:firstLineChars="200"/>
        <w:rPr>
          <w:szCs w:val="32"/>
        </w:rPr>
      </w:pPr>
      <w:r>
        <w:rPr>
          <w:rFonts w:eastAsia="楷体_GB2312"/>
          <w:spacing w:val="-4"/>
          <w:szCs w:val="32"/>
        </w:rPr>
        <w:t>（四）开展动态监测和评价分析。</w:t>
      </w:r>
      <w:r>
        <w:rPr>
          <w:szCs w:val="32"/>
        </w:rPr>
        <w:t>各相关单位要对</w:t>
      </w:r>
      <w:r>
        <w:rPr>
          <w:rFonts w:hint="eastAsia"/>
          <w:szCs w:val="32"/>
        </w:rPr>
        <w:t>高速公路</w:t>
      </w:r>
      <w:r>
        <w:rPr>
          <w:szCs w:val="32"/>
        </w:rPr>
        <w:t>差异化收费政策执行情况进行动态监测，加强对相应路段交通量结构及变化、通行费收入、养护和运营管理支出等情况的分析，对政策执行过程中出现的新情况新问题要拓宽思路、创新方法、全力解决。在差异化收费政策</w:t>
      </w:r>
      <w:r>
        <w:rPr>
          <w:rFonts w:hint="eastAsia"/>
          <w:szCs w:val="32"/>
        </w:rPr>
        <w:t>到期</w:t>
      </w:r>
      <w:r>
        <w:rPr>
          <w:rFonts w:hint="eastAsia" w:ascii="仿宋_GB2312"/>
          <w:szCs w:val="32"/>
        </w:rPr>
        <w:t>前3</w:t>
      </w:r>
      <w:r>
        <w:rPr>
          <w:szCs w:val="32"/>
        </w:rPr>
        <w:t>个月，对差异化收费政策实施效果进行量化总结评估。</w:t>
      </w:r>
    </w:p>
    <w:p>
      <w:pPr>
        <w:spacing w:line="580" w:lineRule="exact"/>
        <w:ind w:firstLine="800" w:firstLineChars="250"/>
        <w:rPr>
          <w:rFonts w:eastAsia="黑体"/>
          <w:szCs w:val="32"/>
        </w:rPr>
      </w:pPr>
      <w:r>
        <w:rPr>
          <w:rFonts w:eastAsia="黑体"/>
          <w:szCs w:val="32"/>
        </w:rPr>
        <w:t>四、保障措施</w:t>
      </w:r>
    </w:p>
    <w:p>
      <w:pPr>
        <w:pStyle w:val="4"/>
        <w:widowControl w:val="0"/>
        <w:spacing w:line="580" w:lineRule="exact"/>
        <w:ind w:firstLine="628"/>
        <w:jc w:val="both"/>
      </w:pPr>
      <w:r>
        <w:rPr>
          <w:rFonts w:eastAsia="楷体_GB2312"/>
          <w:szCs w:val="32"/>
          <w:shd w:val="clear" w:color="auto" w:fill="FFFFFF"/>
        </w:rPr>
        <w:t>（</w:t>
      </w:r>
      <w:r>
        <w:rPr>
          <w:rFonts w:hint="eastAsia" w:eastAsia="楷体_GB2312"/>
          <w:szCs w:val="32"/>
          <w:shd w:val="clear" w:color="auto" w:fill="FFFFFF"/>
        </w:rPr>
        <w:t>一</w:t>
      </w:r>
      <w:r>
        <w:rPr>
          <w:rFonts w:eastAsia="楷体_GB2312"/>
          <w:szCs w:val="32"/>
          <w:shd w:val="clear" w:color="auto" w:fill="FFFFFF"/>
        </w:rPr>
        <w:t>）强化技术支持保障。</w:t>
      </w:r>
      <w:r>
        <w:rPr>
          <w:rFonts w:eastAsia="仿宋_GB2312"/>
        </w:rPr>
        <w:t>省交通运输厅要</w:t>
      </w:r>
      <w:r>
        <w:rPr>
          <w:rFonts w:hint="eastAsia" w:eastAsia="仿宋_GB2312"/>
        </w:rPr>
        <w:t>坚持创新发展</w:t>
      </w:r>
      <w:r>
        <w:rPr>
          <w:rFonts w:eastAsia="仿宋_GB2312"/>
        </w:rPr>
        <w:t>，对各地提出的</w:t>
      </w:r>
      <w:r>
        <w:rPr>
          <w:rFonts w:hint="eastAsia" w:eastAsia="仿宋_GB2312"/>
        </w:rPr>
        <w:t>高速公路</w:t>
      </w:r>
      <w:r>
        <w:rPr>
          <w:rFonts w:eastAsia="仿宋_GB2312"/>
        </w:rPr>
        <w:t>差异化收费方案加强指导，给予</w:t>
      </w:r>
      <w:r>
        <w:rPr>
          <w:rFonts w:hint="eastAsia" w:eastAsia="仿宋_GB2312"/>
        </w:rPr>
        <w:t>技术</w:t>
      </w:r>
      <w:r>
        <w:rPr>
          <w:rFonts w:eastAsia="仿宋_GB2312"/>
        </w:rPr>
        <w:t>支持，确保计费准确。督促指导各高速公路经营单位加强技术人员队伍建设，优化系统性能，</w:t>
      </w:r>
      <w:r>
        <w:rPr>
          <w:rFonts w:eastAsia="仿宋_GB2312"/>
          <w:szCs w:val="32"/>
        </w:rPr>
        <w:t>完善应急准备，</w:t>
      </w:r>
      <w:r>
        <w:rPr>
          <w:rFonts w:eastAsia="仿宋_GB2312"/>
        </w:rPr>
        <w:t>保障高速公路联网收费系统安全稳定运行。</w:t>
      </w:r>
    </w:p>
    <w:p>
      <w:pPr>
        <w:spacing w:line="580" w:lineRule="exact"/>
        <w:ind w:firstLine="640" w:firstLineChars="200"/>
        <w:rPr>
          <w:kern w:val="0"/>
          <w:szCs w:val="32"/>
        </w:rPr>
      </w:pPr>
      <w:r>
        <w:rPr>
          <w:rFonts w:eastAsia="楷体_GB2312"/>
          <w:szCs w:val="32"/>
        </w:rPr>
        <w:t>（</w:t>
      </w:r>
      <w:r>
        <w:rPr>
          <w:rFonts w:hint="eastAsia" w:eastAsia="楷体_GB2312"/>
          <w:szCs w:val="32"/>
        </w:rPr>
        <w:t>二</w:t>
      </w:r>
      <w:r>
        <w:rPr>
          <w:rFonts w:eastAsia="楷体_GB2312"/>
          <w:szCs w:val="32"/>
        </w:rPr>
        <w:t>）加强政策解读宣传。</w:t>
      </w:r>
      <w:r>
        <w:rPr>
          <w:szCs w:val="32"/>
        </w:rPr>
        <w:t>各相关单位要</w:t>
      </w:r>
      <w:r>
        <w:rPr>
          <w:kern w:val="0"/>
          <w:szCs w:val="32"/>
        </w:rPr>
        <w:t>加大</w:t>
      </w:r>
      <w:r>
        <w:rPr>
          <w:rFonts w:hint="eastAsia"/>
          <w:kern w:val="0"/>
          <w:szCs w:val="32"/>
        </w:rPr>
        <w:t>高速公路</w:t>
      </w:r>
      <w:r>
        <w:rPr>
          <w:kern w:val="0"/>
          <w:szCs w:val="32"/>
        </w:rPr>
        <w:t>差异化收费政策的宣传解读力度，主动通过媒体、收费站和高速公路情报板等公开政策内容，引导社会公众正确理解和支持</w:t>
      </w:r>
      <w:r>
        <w:rPr>
          <w:rFonts w:hint="eastAsia"/>
          <w:kern w:val="0"/>
          <w:szCs w:val="32"/>
        </w:rPr>
        <w:t>高速公路</w:t>
      </w:r>
      <w:r>
        <w:rPr>
          <w:kern w:val="0"/>
          <w:szCs w:val="32"/>
        </w:rPr>
        <w:t>差异化收费工作，提供清晰明了的收费查询途径。各高速公路经营单位要加强收费人员培训，提高服务水平，及时妥善解决政策执行过程中出现的矛盾和问题。</w:t>
      </w:r>
    </w:p>
    <w:p>
      <w:pPr>
        <w:spacing w:line="580" w:lineRule="exact"/>
        <w:ind w:firstLine="640" w:firstLineChars="200"/>
        <w:rPr>
          <w:rFonts w:ascii="仿宋_GB2312" w:cs="HiddenHorzOCR"/>
          <w:kern w:val="0"/>
          <w:szCs w:val="32"/>
        </w:rPr>
      </w:pPr>
      <w:r>
        <w:rPr>
          <w:kern w:val="0"/>
          <w:szCs w:val="32"/>
        </w:rPr>
        <w:t>实施过程中遇到重大问题要及时向省交通运输厅、省发展改革委和省财政厅报告。</w:t>
      </w:r>
    </w:p>
    <w:p>
      <w:pPr>
        <w:spacing w:line="580" w:lineRule="exact"/>
        <w:ind w:firstLine="640" w:firstLineChars="200"/>
        <w:rPr>
          <w:rFonts w:ascii="仿宋_GB2312" w:cs="HiddenHorzOCR"/>
          <w:kern w:val="0"/>
          <w:szCs w:val="32"/>
        </w:rPr>
      </w:pPr>
    </w:p>
    <w:p>
      <w:pPr>
        <w:spacing w:line="580" w:lineRule="exact"/>
        <w:ind w:firstLine="640" w:firstLineChars="200"/>
        <w:rPr>
          <w:rFonts w:ascii="仿宋_GB2312" w:cs="HiddenHorzOCR"/>
          <w:kern w:val="0"/>
          <w:szCs w:val="32"/>
        </w:rPr>
      </w:pPr>
      <w:r>
        <w:rPr>
          <w:rFonts w:hint="eastAsia" w:ascii="仿宋_GB2312" w:cs="HiddenHorzOCR"/>
          <w:kern w:val="0"/>
          <w:szCs w:val="32"/>
        </w:rPr>
        <w:t>附件：1.浙江省现行高速公路差异化收费政策明细表</w:t>
      </w:r>
    </w:p>
    <w:p>
      <w:pPr>
        <w:spacing w:line="580" w:lineRule="exact"/>
        <w:ind w:firstLine="1600" w:firstLineChars="500"/>
        <w:rPr>
          <w:rFonts w:ascii="仿宋_GB2312" w:cs="HiddenHorzOCR"/>
          <w:kern w:val="0"/>
          <w:szCs w:val="32"/>
        </w:rPr>
      </w:pPr>
      <w:r>
        <w:rPr>
          <w:rFonts w:hint="eastAsia" w:ascii="仿宋_GB2312" w:cs="HiddenHorzOCR"/>
          <w:kern w:val="0"/>
          <w:szCs w:val="32"/>
        </w:rPr>
        <w:t>2.高速公路差异化收费实施要点</w:t>
      </w:r>
    </w:p>
    <w:p>
      <w:pPr>
        <w:spacing w:line="580" w:lineRule="exact"/>
        <w:rPr>
          <w:rFonts w:ascii="黑体" w:hAnsi="黑体" w:eastAsia="黑体" w:cs="HiddenHorzOCR"/>
          <w:kern w:val="0"/>
          <w:szCs w:val="32"/>
        </w:rPr>
      </w:pPr>
      <w:r>
        <w:rPr>
          <w:rFonts w:hint="eastAsia" w:ascii="黑体" w:hAnsi="黑体" w:eastAsia="黑体" w:cs="HiddenHorzOCR"/>
          <w:kern w:val="0"/>
          <w:szCs w:val="32"/>
        </w:rPr>
        <w:t>附件1</w:t>
      </w:r>
    </w:p>
    <w:p>
      <w:pPr>
        <w:spacing w:line="580" w:lineRule="exact"/>
        <w:rPr>
          <w:rFonts w:ascii="方正小标宋简体" w:hAnsi="黑体" w:eastAsia="方正小标宋简体" w:cs="HiddenHorzOCR"/>
          <w:kern w:val="0"/>
          <w:sz w:val="44"/>
          <w:szCs w:val="44"/>
        </w:rPr>
      </w:pPr>
    </w:p>
    <w:p>
      <w:pPr>
        <w:spacing w:line="580" w:lineRule="exact"/>
        <w:jc w:val="center"/>
        <w:rPr>
          <w:rFonts w:hint="eastAsia" w:ascii="方正小标宋简体" w:hAnsi="黑体" w:eastAsia="方正小标宋简体" w:cs="HiddenHorzOCR"/>
          <w:kern w:val="0"/>
          <w:sz w:val="44"/>
          <w:szCs w:val="44"/>
        </w:rPr>
      </w:pPr>
      <w:r>
        <w:rPr>
          <w:rFonts w:hint="eastAsia" w:ascii="方正小标宋简体" w:hAnsi="黑体" w:eastAsia="方正小标宋简体" w:cs="HiddenHorzOCR"/>
          <w:kern w:val="0"/>
          <w:sz w:val="44"/>
          <w:szCs w:val="44"/>
        </w:rPr>
        <w:t>浙江省现行高速公路差异化收费政策</w:t>
      </w:r>
    </w:p>
    <w:p>
      <w:pPr>
        <w:spacing w:line="580" w:lineRule="exact"/>
        <w:jc w:val="center"/>
        <w:rPr>
          <w:rFonts w:ascii="方正小标宋简体" w:hAnsi="黑体" w:eastAsia="方正小标宋简体" w:cs="HiddenHorzOCR"/>
          <w:kern w:val="0"/>
          <w:sz w:val="44"/>
          <w:szCs w:val="44"/>
        </w:rPr>
      </w:pPr>
      <w:r>
        <w:rPr>
          <w:rFonts w:hint="eastAsia" w:ascii="方正小标宋简体" w:hAnsi="黑体" w:eastAsia="方正小标宋简体" w:cs="HiddenHorzOCR"/>
          <w:kern w:val="0"/>
          <w:sz w:val="44"/>
          <w:szCs w:val="44"/>
        </w:rPr>
        <w:t>明细表</w:t>
      </w:r>
    </w:p>
    <w:p>
      <w:pPr>
        <w:spacing w:line="580" w:lineRule="exact"/>
        <w:jc w:val="center"/>
        <w:rPr>
          <w:rFonts w:ascii="黑体" w:hAnsi="黑体" w:eastAsia="黑体" w:cs="HiddenHorzOCR"/>
          <w:kern w:val="0"/>
          <w:szCs w:val="32"/>
        </w:rPr>
      </w:pPr>
    </w:p>
    <w:tbl>
      <w:tblPr>
        <w:tblStyle w:val="2"/>
        <w:tblW w:w="9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2318"/>
        <w:gridCol w:w="4448"/>
        <w:gridCol w:w="1125"/>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jc w:val="center"/>
        </w:trPr>
        <w:tc>
          <w:tcPr>
            <w:tcW w:w="457" w:type="dxa"/>
            <w:noWrap w:val="0"/>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序号</w:t>
            </w:r>
          </w:p>
        </w:tc>
        <w:tc>
          <w:tcPr>
            <w:tcW w:w="2318" w:type="dxa"/>
            <w:noWrap w:val="0"/>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政策名称</w:t>
            </w:r>
          </w:p>
        </w:tc>
        <w:tc>
          <w:tcPr>
            <w:tcW w:w="4448" w:type="dxa"/>
            <w:noWrap w:val="0"/>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政策简介</w:t>
            </w:r>
          </w:p>
        </w:tc>
        <w:tc>
          <w:tcPr>
            <w:tcW w:w="1125" w:type="dxa"/>
            <w:noWrap w:val="0"/>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差异化类型</w:t>
            </w:r>
          </w:p>
        </w:tc>
        <w:tc>
          <w:tcPr>
            <w:tcW w:w="1237" w:type="dxa"/>
            <w:noWrap w:val="0"/>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5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w:t>
            </w:r>
          </w:p>
        </w:tc>
        <w:tc>
          <w:tcPr>
            <w:tcW w:w="2318"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电子不停车收费（ETC）九五折基本优惠</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对通行全省收费公路、安装并使用ETC支付通行费的车辆，其车辆通行费实行九五折基本优惠。</w:t>
            </w:r>
          </w:p>
        </w:tc>
        <w:tc>
          <w:tcPr>
            <w:tcW w:w="1125"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分支付方式</w:t>
            </w: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国际标准集装箱运输车辆通行费优惠政策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对合法装载的国际标准集装箱运输车辆，高速公路通行费统一实行六五折优惠。</w:t>
            </w:r>
          </w:p>
        </w:tc>
        <w:tc>
          <w:tcPr>
            <w:tcW w:w="1125" w:type="dxa"/>
            <w:vMerge w:val="restart"/>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分车型</w:t>
            </w: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57" w:type="dxa"/>
            <w:shd w:val="clear" w:color="auto" w:fill="auto"/>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3</w:t>
            </w:r>
          </w:p>
        </w:tc>
        <w:tc>
          <w:tcPr>
            <w:tcW w:w="2318" w:type="dxa"/>
            <w:shd w:val="clear" w:color="auto" w:fill="auto"/>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舟山跨海大桥集装箱车辆优惠政策</w:t>
            </w:r>
          </w:p>
        </w:tc>
        <w:tc>
          <w:tcPr>
            <w:tcW w:w="4448" w:type="dxa"/>
            <w:shd w:val="clear" w:color="000000" w:fill="FFFFFF"/>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合法装载的国际标准集装箱运输车辆进出金塘和沥港收费站在舟山跨海大桥路段的通行费按25%收取、进出舟山跨海大桥其他收费站在舟山跨海大桥路段的通行费按50%收取。</w:t>
            </w:r>
          </w:p>
        </w:tc>
        <w:tc>
          <w:tcPr>
            <w:tcW w:w="1125" w:type="dxa"/>
            <w:vMerge w:val="continue"/>
            <w:noWrap w:val="0"/>
            <w:vAlign w:val="center"/>
          </w:tcPr>
          <w:p>
            <w:pPr>
              <w:widowControl/>
              <w:jc w:val="left"/>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457" w:type="dxa"/>
            <w:shd w:val="clear" w:color="auto" w:fill="auto"/>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4</w:t>
            </w:r>
          </w:p>
        </w:tc>
        <w:tc>
          <w:tcPr>
            <w:tcW w:w="2318" w:type="dxa"/>
            <w:shd w:val="clear" w:color="000000" w:fill="FFFFFF"/>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穿好高速公路集装箱车辆优惠政策</w:t>
            </w:r>
          </w:p>
        </w:tc>
        <w:tc>
          <w:tcPr>
            <w:tcW w:w="4448" w:type="dxa"/>
            <w:shd w:val="clear" w:color="000000" w:fill="FFFFFF"/>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对仅行驶穿好高速公路霞浦收费站至穿山港区收费站</w:t>
            </w:r>
            <w:r>
              <w:rPr>
                <w:rFonts w:hint="eastAsia" w:ascii="仿宋_GB2312" w:hAnsi="宋体" w:cs="宋体"/>
                <w:color w:val="000000"/>
                <w:kern w:val="0"/>
                <w:sz w:val="20"/>
                <w:lang w:eastAsia="zh-CN"/>
              </w:rPr>
              <w:t>之</w:t>
            </w:r>
            <w:r>
              <w:rPr>
                <w:rFonts w:hint="eastAsia" w:ascii="仿宋_GB2312" w:hAnsi="宋体" w:cs="宋体"/>
                <w:color w:val="000000"/>
                <w:kern w:val="0"/>
                <w:sz w:val="20"/>
              </w:rPr>
              <w:t>间路段（进出高速公路的收费站均在霞浦、柴桥、郭巨、穿山港区4个收费站内）的国际标准集装箱运输车辆通行费按25%收取。</w:t>
            </w:r>
          </w:p>
        </w:tc>
        <w:tc>
          <w:tcPr>
            <w:tcW w:w="1125" w:type="dxa"/>
            <w:vMerge w:val="continue"/>
            <w:noWrap w:val="0"/>
            <w:vAlign w:val="center"/>
          </w:tcPr>
          <w:p>
            <w:pPr>
              <w:widowControl/>
              <w:jc w:val="left"/>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45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5</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舟山跨海大桥金塘大桥对空载国际标准集装箱</w:t>
            </w:r>
            <w:r>
              <w:rPr>
                <w:rFonts w:hint="eastAsia" w:ascii="仿宋_GB2312" w:hAnsi="宋体" w:cs="宋体"/>
                <w:color w:val="000000"/>
                <w:kern w:val="0"/>
                <w:sz w:val="20"/>
                <w:lang w:eastAsia="zh-CN"/>
              </w:rPr>
              <w:t>运输</w:t>
            </w:r>
            <w:r>
              <w:rPr>
                <w:rFonts w:hint="eastAsia" w:ascii="仿宋_GB2312" w:hAnsi="宋体" w:cs="宋体"/>
                <w:color w:val="000000"/>
                <w:kern w:val="0"/>
                <w:sz w:val="20"/>
              </w:rPr>
              <w:t>车辆差异化收费政策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从舟山跨海大桥沥港收费站或金塘收费站单向驶至蛟川收费站的未装载国际标准集装箱的专用车辆，在当日19:00到次日7:00时段，</w:t>
            </w:r>
            <w:r>
              <w:rPr>
                <w:rFonts w:hint="eastAsia" w:ascii="仿宋_GB2312" w:hAnsi="宋体" w:cs="宋体"/>
                <w:color w:val="000000"/>
                <w:kern w:val="0"/>
                <w:sz w:val="20"/>
                <w:lang w:eastAsia="zh-CN"/>
              </w:rPr>
              <w:t>其在</w:t>
            </w:r>
            <w:r>
              <w:rPr>
                <w:rFonts w:hint="eastAsia" w:ascii="仿宋_GB2312" w:hAnsi="宋体" w:cs="宋体"/>
                <w:color w:val="000000"/>
                <w:kern w:val="0"/>
                <w:sz w:val="20"/>
              </w:rPr>
              <w:t>舟山跨海大桥金塘大桥路段</w:t>
            </w:r>
            <w:r>
              <w:rPr>
                <w:rFonts w:hint="eastAsia" w:ascii="仿宋_GB2312" w:hAnsi="宋体" w:cs="宋体"/>
                <w:color w:val="000000"/>
                <w:kern w:val="0"/>
                <w:sz w:val="20"/>
                <w:lang w:eastAsia="zh-CN"/>
              </w:rPr>
              <w:t>的通行费按省政府批准</w:t>
            </w:r>
            <w:r>
              <w:rPr>
                <w:rFonts w:hint="eastAsia" w:ascii="仿宋_GB2312" w:hAnsi="宋体" w:cs="宋体"/>
                <w:color w:val="000000"/>
                <w:kern w:val="0"/>
                <w:sz w:val="20"/>
              </w:rPr>
              <w:t>收费标准的25%收取。</w:t>
            </w:r>
          </w:p>
        </w:tc>
        <w:tc>
          <w:tcPr>
            <w:tcW w:w="1125" w:type="dxa"/>
            <w:noWrap w:val="0"/>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分时段</w:t>
            </w:r>
          </w:p>
          <w:p>
            <w:pPr>
              <w:widowControl/>
              <w:jc w:val="center"/>
              <w:rPr>
                <w:rFonts w:ascii="仿宋_GB2312" w:hAnsi="宋体" w:cs="宋体"/>
                <w:color w:val="000000"/>
                <w:kern w:val="0"/>
                <w:sz w:val="20"/>
              </w:rPr>
            </w:pPr>
            <w:r>
              <w:rPr>
                <w:rFonts w:hint="eastAsia" w:ascii="仿宋_GB2312" w:hAnsi="宋体" w:cs="宋体"/>
                <w:color w:val="000000"/>
                <w:kern w:val="0"/>
                <w:sz w:val="20"/>
              </w:rPr>
              <w:t>分方向</w:t>
            </w: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457" w:type="dxa"/>
            <w:shd w:val="clear" w:color="auto" w:fill="auto"/>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6</w:t>
            </w:r>
          </w:p>
        </w:tc>
        <w:tc>
          <w:tcPr>
            <w:tcW w:w="2318" w:type="dxa"/>
            <w:shd w:val="clear" w:color="000000" w:fill="FFFFFF"/>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黄衢南高速公路货车分时段差异化收费</w:t>
            </w:r>
          </w:p>
        </w:tc>
        <w:tc>
          <w:tcPr>
            <w:tcW w:w="4448" w:type="dxa"/>
            <w:shd w:val="clear" w:color="000000" w:fill="FFFFFF"/>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对当日22时至次日6时行驶黄衢南高速公路，安装并使用ETC的5类、6类合法装载货车按4类货车通行费标准收取。</w:t>
            </w:r>
          </w:p>
        </w:tc>
        <w:tc>
          <w:tcPr>
            <w:tcW w:w="1125" w:type="dxa"/>
            <w:noWrap w:val="0"/>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分时段</w:t>
            </w:r>
          </w:p>
          <w:p>
            <w:pPr>
              <w:widowControl/>
              <w:jc w:val="center"/>
              <w:rPr>
                <w:rFonts w:ascii="仿宋_GB2312" w:hAnsi="宋体" w:cs="宋体"/>
                <w:color w:val="000000"/>
                <w:kern w:val="0"/>
                <w:sz w:val="20"/>
              </w:rPr>
            </w:pPr>
            <w:r>
              <w:rPr>
                <w:rFonts w:hint="eastAsia" w:ascii="仿宋_GB2312" w:hAnsi="宋体" w:cs="宋体"/>
                <w:color w:val="000000"/>
                <w:kern w:val="0"/>
                <w:sz w:val="20"/>
              </w:rPr>
              <w:t>分支付方式</w:t>
            </w: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2022年3月25日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45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7</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货车ETC支付八五折优惠</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省属及市、县（市、区）属国有全资和控股的高速公路路段，对使用我省发行的ETC车载装置的合法装载货运车辆通行费，</w:t>
            </w:r>
            <w:r>
              <w:rPr>
                <w:rFonts w:hint="eastAsia" w:ascii="仿宋_GB2312" w:hAnsi="宋体" w:cs="宋体"/>
                <w:color w:val="000000"/>
                <w:kern w:val="0"/>
                <w:sz w:val="20"/>
                <w:lang w:eastAsia="zh-CN"/>
              </w:rPr>
              <w:t>实行</w:t>
            </w:r>
            <w:r>
              <w:rPr>
                <w:rFonts w:hint="eastAsia" w:ascii="仿宋_GB2312" w:hAnsi="宋体" w:cs="宋体"/>
                <w:color w:val="000000"/>
                <w:kern w:val="0"/>
                <w:sz w:val="20"/>
              </w:rPr>
              <w:t>八五折优惠。</w:t>
            </w:r>
          </w:p>
        </w:tc>
        <w:tc>
          <w:tcPr>
            <w:tcW w:w="1125" w:type="dxa"/>
            <w:vMerge w:val="restart"/>
            <w:noWrap w:val="0"/>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分路段</w:t>
            </w:r>
          </w:p>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分车型</w:t>
            </w:r>
          </w:p>
          <w:p>
            <w:pPr>
              <w:widowControl/>
              <w:jc w:val="center"/>
              <w:rPr>
                <w:rFonts w:ascii="仿宋_GB2312" w:hAnsi="宋体" w:cs="宋体"/>
                <w:color w:val="000000"/>
                <w:kern w:val="0"/>
                <w:sz w:val="20"/>
              </w:rPr>
            </w:pPr>
            <w:r>
              <w:rPr>
                <w:rFonts w:hint="eastAsia" w:ascii="仿宋_GB2312" w:hAnsi="宋体" w:cs="宋体"/>
                <w:color w:val="000000"/>
                <w:kern w:val="0"/>
                <w:sz w:val="20"/>
              </w:rPr>
              <w:t>分支付方式</w:t>
            </w:r>
          </w:p>
        </w:tc>
        <w:tc>
          <w:tcPr>
            <w:tcW w:w="1237" w:type="dxa"/>
            <w:noWrap w:val="0"/>
            <w:vAlign w:val="center"/>
          </w:tcPr>
          <w:p>
            <w:pPr>
              <w:widowControl/>
              <w:jc w:val="center"/>
              <w:rPr>
                <w:rFonts w:hint="eastAsia" w:ascii="仿宋_GB2312" w:hAnsi="宋体" w:eastAsia="仿宋_GB2312" w:cs="宋体"/>
                <w:color w:val="000000"/>
                <w:kern w:val="0"/>
                <w:sz w:val="20"/>
                <w:lang w:eastAsia="zh-CN"/>
              </w:rPr>
            </w:pPr>
            <w:r>
              <w:rPr>
                <w:rFonts w:hint="eastAsia" w:ascii="仿宋_GB2312" w:hAnsi="宋体" w:cs="宋体"/>
                <w:color w:val="000000"/>
                <w:kern w:val="0"/>
                <w:sz w:val="20"/>
                <w:lang w:eastAsia="zh-CN"/>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8</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沪杭高速公路</w:t>
            </w:r>
            <w:r>
              <w:rPr>
                <w:rFonts w:hint="eastAsia" w:ascii="仿宋_GB2312" w:hAnsi="宋体" w:cs="宋体"/>
                <w:color w:val="000000"/>
                <w:kern w:val="0"/>
                <w:sz w:val="20"/>
                <w:lang w:eastAsia="zh-CN"/>
              </w:rPr>
              <w:t>临平</w:t>
            </w:r>
            <w:r>
              <w:rPr>
                <w:rFonts w:hint="eastAsia" w:ascii="仿宋_GB2312" w:hAnsi="宋体" w:cs="宋体"/>
                <w:color w:val="000000"/>
                <w:kern w:val="0"/>
                <w:sz w:val="20"/>
              </w:rPr>
              <w:t>至杭州段差异化收费政策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对仅行驶沪杭高速公路</w:t>
            </w:r>
            <w:r>
              <w:rPr>
                <w:rFonts w:hint="eastAsia" w:ascii="仿宋_GB2312" w:hAnsi="宋体" w:cs="宋体"/>
                <w:color w:val="000000"/>
                <w:kern w:val="0"/>
                <w:sz w:val="20"/>
                <w:lang w:eastAsia="zh-CN"/>
              </w:rPr>
              <w:t>临平</w:t>
            </w:r>
            <w:r>
              <w:rPr>
                <w:rFonts w:hint="eastAsia" w:ascii="仿宋_GB2312" w:hAnsi="宋体" w:cs="宋体"/>
                <w:color w:val="000000"/>
                <w:kern w:val="0"/>
                <w:sz w:val="20"/>
              </w:rPr>
              <w:t>收费站至杭州收费站之间路段，并使用ETC记账卡的浙A牌照1类客车免收通行费。</w:t>
            </w:r>
          </w:p>
        </w:tc>
        <w:tc>
          <w:tcPr>
            <w:tcW w:w="1125" w:type="dxa"/>
            <w:vMerge w:val="continue"/>
            <w:noWrap w:val="0"/>
            <w:vAlign w:val="center"/>
          </w:tcPr>
          <w:p>
            <w:pPr>
              <w:widowControl/>
              <w:jc w:val="left"/>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9</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宁波市北仑区境内高速公路差异化收费政策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对仅行驶北仑区境内8个指定高速公路收费站之间往返路段且未途经其它路段，</w:t>
            </w:r>
            <w:r>
              <w:rPr>
                <w:rFonts w:hint="eastAsia" w:ascii="仿宋_GB2312" w:hAnsi="宋体" w:cs="宋体"/>
                <w:color w:val="000000"/>
                <w:kern w:val="0"/>
                <w:sz w:val="20"/>
                <w:lang w:eastAsia="zh-CN"/>
              </w:rPr>
              <w:t>且</w:t>
            </w:r>
            <w:r>
              <w:rPr>
                <w:rFonts w:hint="eastAsia" w:ascii="仿宋_GB2312" w:hAnsi="宋体" w:cs="宋体"/>
                <w:color w:val="000000"/>
                <w:kern w:val="0"/>
                <w:sz w:val="20"/>
              </w:rPr>
              <w:t>使用ETC记账卡的1类客车免收通行费。</w:t>
            </w:r>
          </w:p>
        </w:tc>
        <w:tc>
          <w:tcPr>
            <w:tcW w:w="1125" w:type="dxa"/>
            <w:vMerge w:val="restart"/>
            <w:noWrap w:val="0"/>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分路段</w:t>
            </w:r>
          </w:p>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分车型</w:t>
            </w:r>
          </w:p>
          <w:p>
            <w:pPr>
              <w:widowControl/>
              <w:jc w:val="center"/>
              <w:rPr>
                <w:rFonts w:ascii="仿宋_GB2312" w:hAnsi="宋体" w:cs="宋体"/>
                <w:color w:val="000000"/>
                <w:kern w:val="0"/>
                <w:sz w:val="20"/>
              </w:rPr>
            </w:pPr>
            <w:r>
              <w:rPr>
                <w:rFonts w:hint="eastAsia" w:ascii="仿宋_GB2312" w:hAnsi="宋体" w:cs="宋体"/>
                <w:color w:val="000000"/>
                <w:kern w:val="0"/>
                <w:sz w:val="20"/>
              </w:rPr>
              <w:t>分支付方式</w:t>
            </w: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10</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义乌市、浦江县及金义新区境内高速公路差异化收费政策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对行驶义乌市、浦江县及金义新区境内15个指定高速公路收费站之间路段，</w:t>
            </w:r>
            <w:r>
              <w:rPr>
                <w:rFonts w:hint="eastAsia" w:ascii="仿宋_GB2312" w:hAnsi="宋体" w:cs="宋体"/>
                <w:color w:val="000000"/>
                <w:kern w:val="0"/>
                <w:sz w:val="20"/>
                <w:lang w:eastAsia="zh-CN"/>
              </w:rPr>
              <w:t>且</w:t>
            </w:r>
            <w:r>
              <w:rPr>
                <w:rFonts w:hint="eastAsia" w:ascii="仿宋_GB2312" w:hAnsi="宋体" w:cs="宋体"/>
                <w:color w:val="000000"/>
                <w:kern w:val="0"/>
                <w:sz w:val="20"/>
              </w:rPr>
              <w:t>使用ETC记账卡的1类客车免收通行费。</w:t>
            </w:r>
          </w:p>
        </w:tc>
        <w:tc>
          <w:tcPr>
            <w:tcW w:w="1125" w:type="dxa"/>
            <w:vMerge w:val="continue"/>
            <w:noWrap w:val="0"/>
            <w:vAlign w:val="center"/>
          </w:tcPr>
          <w:p>
            <w:pP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11</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杭徽高速公路差异化收费政策（临安）</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对仅行驶杭徽高速公路杭州西至临安收费站之间路段，并由杭州西、青山湖、临安3个收费站进出，</w:t>
            </w:r>
            <w:r>
              <w:rPr>
                <w:rFonts w:hint="eastAsia" w:ascii="仿宋_GB2312" w:hAnsi="宋体" w:cs="宋体"/>
                <w:color w:val="000000"/>
                <w:kern w:val="0"/>
                <w:sz w:val="20"/>
                <w:lang w:eastAsia="zh-CN"/>
              </w:rPr>
              <w:t>且</w:t>
            </w:r>
            <w:r>
              <w:rPr>
                <w:rFonts w:hint="eastAsia" w:ascii="仿宋_GB2312" w:hAnsi="宋体" w:cs="宋体"/>
                <w:color w:val="000000"/>
                <w:kern w:val="0"/>
                <w:sz w:val="20"/>
              </w:rPr>
              <w:t>使用ETC记账卡的浙A牌照1类客车免收通行费。</w:t>
            </w:r>
          </w:p>
        </w:tc>
        <w:tc>
          <w:tcPr>
            <w:tcW w:w="1125" w:type="dxa"/>
            <w:vMerge w:val="continue"/>
            <w:noWrap w:val="0"/>
            <w:vAlign w:val="center"/>
          </w:tcPr>
          <w:p>
            <w:pPr>
              <w:jc w:val="cente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12</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申苏浙皖和申嘉湖高速公路湖州市本级路段差异化收费政策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申苏浙皖高速公路南浔收费站至南太湖收费站之间路段且进出均在申苏浙皖高速公路南浔、织里、湖州、南太湖4个收费站，及仅行驶申嘉湖高速公路南浔南收费站至湖州东收费站之间路段且进出均在申嘉湖高速公路南浔南、双林、湖州东3个收费站，并使用ETC记账卡的浙E牌照1类客车免收通行费。</w:t>
            </w:r>
          </w:p>
        </w:tc>
        <w:tc>
          <w:tcPr>
            <w:tcW w:w="1125" w:type="dxa"/>
            <w:vMerge w:val="continue"/>
            <w:noWrap w:val="0"/>
            <w:vAlign w:val="center"/>
          </w:tcPr>
          <w:p>
            <w:pPr>
              <w:jc w:val="cente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13</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杭徽和杭长高速公路杭州至余杭路段差异化收费政策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对仅行驶杭徽高速公路杭州西至九峰收费站之间路段，并由杭州西、老余杭、九峰3个收费站进出，</w:t>
            </w:r>
            <w:r>
              <w:rPr>
                <w:rFonts w:hint="eastAsia" w:ascii="仿宋_GB2312" w:hAnsi="宋体" w:cs="宋体"/>
                <w:color w:val="000000"/>
                <w:kern w:val="0"/>
                <w:sz w:val="20"/>
                <w:lang w:eastAsia="zh-CN"/>
              </w:rPr>
              <w:t>且</w:t>
            </w:r>
            <w:r>
              <w:rPr>
                <w:rFonts w:hint="eastAsia" w:ascii="仿宋_GB2312" w:hAnsi="宋体" w:cs="宋体"/>
                <w:color w:val="000000"/>
                <w:kern w:val="0"/>
                <w:sz w:val="20"/>
              </w:rPr>
              <w:t>使用ETC记账卡的浙A牌照1类客车免收通行费。对仅行驶杭长高速公路紫金港至百丈收费站之间路段，并由紫金港、瓶窑、径山、黄湖、百丈5个收费站进出高速公路，</w:t>
            </w:r>
            <w:r>
              <w:rPr>
                <w:rFonts w:hint="eastAsia" w:ascii="仿宋_GB2312" w:hAnsi="宋体" w:cs="宋体"/>
                <w:color w:val="000000"/>
                <w:kern w:val="0"/>
                <w:sz w:val="20"/>
                <w:lang w:eastAsia="zh-CN"/>
              </w:rPr>
              <w:t>且</w:t>
            </w:r>
            <w:r>
              <w:rPr>
                <w:rFonts w:hint="eastAsia" w:ascii="仿宋_GB2312" w:hAnsi="宋体" w:cs="宋体"/>
                <w:color w:val="000000"/>
                <w:kern w:val="0"/>
                <w:sz w:val="20"/>
              </w:rPr>
              <w:t>使用ETC记账卡的浙A牌照1类客车免收通行费。</w:t>
            </w:r>
          </w:p>
        </w:tc>
        <w:tc>
          <w:tcPr>
            <w:tcW w:w="1125" w:type="dxa"/>
            <w:vMerge w:val="continue"/>
            <w:noWrap w:val="0"/>
            <w:vAlign w:val="center"/>
          </w:tcPr>
          <w:p>
            <w:pPr>
              <w:jc w:val="cente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14</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甬台温高速公路复线马站收费站至龙沙收费站差异化收费政策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对仅行驶甬台温高速公路复线马站收费站至龙沙收费站之间路段，</w:t>
            </w:r>
            <w:r>
              <w:rPr>
                <w:rFonts w:hint="eastAsia" w:ascii="仿宋_GB2312" w:hAnsi="宋体" w:cs="宋体"/>
                <w:color w:val="000000"/>
                <w:kern w:val="0"/>
                <w:sz w:val="20"/>
                <w:lang w:eastAsia="zh-CN"/>
              </w:rPr>
              <w:t>且</w:t>
            </w:r>
            <w:r>
              <w:rPr>
                <w:rFonts w:hint="eastAsia" w:ascii="仿宋_GB2312" w:hAnsi="宋体" w:cs="宋体"/>
                <w:color w:val="000000"/>
                <w:kern w:val="0"/>
                <w:sz w:val="20"/>
              </w:rPr>
              <w:t>使用ETC记账卡的浙C牌照1类客车通行费减免10元/车次。</w:t>
            </w:r>
          </w:p>
        </w:tc>
        <w:tc>
          <w:tcPr>
            <w:tcW w:w="1125" w:type="dxa"/>
            <w:vMerge w:val="continue"/>
            <w:noWrap w:val="0"/>
            <w:vAlign w:val="center"/>
          </w:tcPr>
          <w:p>
            <w:pPr>
              <w:jc w:val="cente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15</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龙丽温高速公路文成至高楼路段差异化收费政策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对途经龙丽温高速公路文成至高楼路段，且使用ETC记账卡的浙C牌照1类客车通行费减免5元/车次。</w:t>
            </w:r>
          </w:p>
        </w:tc>
        <w:tc>
          <w:tcPr>
            <w:tcW w:w="1125" w:type="dxa"/>
            <w:vMerge w:val="continue"/>
            <w:noWrap w:val="0"/>
            <w:vAlign w:val="center"/>
          </w:tcPr>
          <w:p>
            <w:pPr>
              <w:jc w:val="left"/>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16</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杭宁高速公路仁和收费站至南庄兜收费站路段差异化收费政策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对仅行驶杭宁高速公路仁和收费站至南庄兜收费站之间路段，并使用ETC记账卡的浙A牌照1类客车免收通行费。</w:t>
            </w:r>
          </w:p>
        </w:tc>
        <w:tc>
          <w:tcPr>
            <w:tcW w:w="1125" w:type="dxa"/>
            <w:vMerge w:val="continue"/>
            <w:noWrap w:val="0"/>
            <w:vAlign w:val="center"/>
          </w:tcPr>
          <w:p>
            <w:pPr>
              <w:jc w:val="left"/>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w:t>
            </w:r>
            <w:r>
              <w:rPr>
                <w:rFonts w:hint="eastAsia" w:ascii="仿宋_GB2312" w:hAnsi="宋体" w:cs="宋体"/>
                <w:color w:val="000000"/>
                <w:kern w:val="0"/>
                <w:sz w:val="20"/>
                <w:lang w:val="en-US" w:eastAsia="zh-CN"/>
              </w:rPr>
              <w:t>3</w:t>
            </w:r>
            <w:r>
              <w:rPr>
                <w:rFonts w:hint="eastAsia" w:ascii="仿宋_GB2312" w:hAnsi="宋体" w:cs="宋体"/>
                <w:color w:val="000000"/>
                <w:kern w:val="0"/>
                <w:sz w:val="20"/>
              </w:rPr>
              <w:t>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17</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环嘉兴市区高速公路差异化收费政策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申嘉湖高速公路新塍互通至洪溪枢纽段、杭州湾跨海大桥北接线洪溪枢纽至步云枢纽段、沪昆高速公路步云枢纽至王店互通段、常台高速公路观音桥枢纽至王店东互通段、乍嘉苏高速公路南湖（嘉兴南）互通至凤桥互通段之间路段，且进出均在上述高速公路的新塍、王江泾（嘉兴北）、油车港、嘉兴东、王店、秀洲（嘉兴西）、马家浜、南湖（嘉兴南）、王店东、余新、凤桥收费站等11个收费站，使用ETC记账卡的浙F牌照1类客车免收通行费。</w:t>
            </w:r>
          </w:p>
        </w:tc>
        <w:tc>
          <w:tcPr>
            <w:tcW w:w="1125" w:type="dxa"/>
            <w:vMerge w:val="restart"/>
            <w:noWrap w:val="0"/>
            <w:vAlign w:val="center"/>
          </w:tcPr>
          <w:p>
            <w:pPr>
              <w:jc w:val="center"/>
              <w:rPr>
                <w:rFonts w:hint="eastAsia" w:ascii="仿宋_GB2312" w:hAnsi="宋体" w:cs="宋体"/>
                <w:color w:val="000000"/>
                <w:kern w:val="0"/>
                <w:sz w:val="20"/>
              </w:rPr>
            </w:pPr>
            <w:r>
              <w:rPr>
                <w:rFonts w:hint="eastAsia" w:ascii="仿宋_GB2312" w:hAnsi="宋体" w:cs="宋体"/>
                <w:color w:val="000000"/>
                <w:kern w:val="0"/>
                <w:sz w:val="20"/>
              </w:rPr>
              <w:t>分路段</w:t>
            </w:r>
          </w:p>
          <w:p>
            <w:pPr>
              <w:jc w:val="center"/>
              <w:rPr>
                <w:rFonts w:hint="eastAsia" w:ascii="仿宋_GB2312" w:hAnsi="宋体" w:cs="宋体"/>
                <w:color w:val="000000"/>
                <w:kern w:val="0"/>
                <w:sz w:val="20"/>
              </w:rPr>
            </w:pPr>
            <w:r>
              <w:rPr>
                <w:rFonts w:hint="eastAsia" w:ascii="仿宋_GB2312" w:hAnsi="宋体" w:cs="宋体"/>
                <w:color w:val="000000"/>
                <w:kern w:val="0"/>
                <w:sz w:val="20"/>
              </w:rPr>
              <w:t>分车型</w:t>
            </w:r>
          </w:p>
          <w:p>
            <w:pPr>
              <w:widowControl/>
              <w:jc w:val="center"/>
              <w:rPr>
                <w:rFonts w:ascii="仿宋_GB2312" w:hAnsi="宋体" w:cs="宋体"/>
                <w:color w:val="000000"/>
                <w:kern w:val="0"/>
                <w:sz w:val="20"/>
              </w:rPr>
            </w:pPr>
            <w:r>
              <w:rPr>
                <w:rFonts w:hint="eastAsia" w:ascii="仿宋_GB2312" w:hAnsi="宋体" w:cs="宋体"/>
                <w:color w:val="000000"/>
                <w:kern w:val="0"/>
                <w:sz w:val="20"/>
              </w:rPr>
              <w:t>分支付方式</w:t>
            </w: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w:t>
            </w:r>
            <w:r>
              <w:rPr>
                <w:rFonts w:hint="eastAsia" w:ascii="仿宋_GB2312" w:hAnsi="宋体" w:cs="宋体"/>
                <w:color w:val="000000"/>
                <w:kern w:val="0"/>
                <w:sz w:val="20"/>
                <w:lang w:val="en-US" w:eastAsia="zh-CN"/>
              </w:rPr>
              <w:t>2</w:t>
            </w:r>
            <w:r>
              <w:rPr>
                <w:rFonts w:hint="eastAsia" w:ascii="仿宋_GB2312" w:hAnsi="宋体" w:cs="宋体"/>
                <w:color w:val="000000"/>
                <w:kern w:val="0"/>
                <w:sz w:val="20"/>
              </w:rPr>
              <w:t>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18</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嘉善县境内高速公路差异化收费政策</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申嘉湖高速公路姚庄互通至洪溪枢纽段、杭州湾跨海大桥北接线嘉善北互通至步云枢纽段、沪昆高速公路步云枢纽至嘉善互通段，进出均在申嘉湖高速公路姚庄、西塘、天凝收费站，杭州湾跨海大桥北接线嘉善北、罗星收费站，沪昆高速公路嘉善收费站等6个收费站，</w:t>
            </w:r>
            <w:r>
              <w:rPr>
                <w:rFonts w:hint="eastAsia" w:ascii="仿宋_GB2312" w:hAnsi="宋体" w:cs="宋体"/>
                <w:color w:val="000000"/>
                <w:kern w:val="0"/>
                <w:sz w:val="20"/>
                <w:lang w:eastAsia="zh-CN"/>
              </w:rPr>
              <w:t>且</w:t>
            </w:r>
            <w:r>
              <w:rPr>
                <w:rFonts w:hint="eastAsia" w:ascii="仿宋_GB2312" w:hAnsi="宋体" w:cs="宋体"/>
                <w:color w:val="000000"/>
                <w:kern w:val="0"/>
                <w:sz w:val="20"/>
              </w:rPr>
              <w:t>使用ETC记账卡的浙F牌照1类客车免收通行费。</w:t>
            </w:r>
          </w:p>
        </w:tc>
        <w:tc>
          <w:tcPr>
            <w:tcW w:w="1125" w:type="dxa"/>
            <w:vMerge w:val="continue"/>
            <w:noWrap w:val="0"/>
            <w:vAlign w:val="center"/>
          </w:tcPr>
          <w:p>
            <w:pPr>
              <w:jc w:val="cente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19</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溧宁高速文泰段客车差异性收费</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溧宁高速文泰段对途经筱村至泰顺路段，且使用ETC记账卡的浙C牌照1类客车通行费减免5元/车次。</w:t>
            </w:r>
          </w:p>
        </w:tc>
        <w:tc>
          <w:tcPr>
            <w:tcW w:w="1125" w:type="dxa"/>
            <w:vMerge w:val="continue"/>
            <w:noWrap w:val="0"/>
            <w:vAlign w:val="center"/>
          </w:tcPr>
          <w:p>
            <w:pPr>
              <w:jc w:val="cente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457" w:type="dxa"/>
            <w:noWrap/>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w:t>
            </w:r>
          </w:p>
        </w:tc>
        <w:tc>
          <w:tcPr>
            <w:tcW w:w="231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安吉县境内高速公路差异化收费</w:t>
            </w:r>
          </w:p>
        </w:tc>
        <w:tc>
          <w:tcPr>
            <w:tcW w:w="4448" w:type="dxa"/>
            <w:noWrap w:val="0"/>
            <w:vAlign w:val="center"/>
          </w:tcPr>
          <w:p>
            <w:pPr>
              <w:widowControl/>
              <w:jc w:val="left"/>
              <w:rPr>
                <w:rFonts w:ascii="仿宋_GB2312" w:hAnsi="宋体" w:cs="宋体"/>
                <w:color w:val="000000"/>
                <w:kern w:val="0"/>
                <w:sz w:val="20"/>
              </w:rPr>
            </w:pPr>
            <w:r>
              <w:rPr>
                <w:rFonts w:hint="eastAsia" w:ascii="仿宋_GB2312" w:hAnsi="宋体" w:cs="宋体"/>
                <w:color w:val="000000"/>
                <w:kern w:val="0"/>
                <w:sz w:val="20"/>
              </w:rPr>
              <w:t>对仅行驶杭长高速公路天子湖互通至安吉互通段、申嘉湖高速公路梅溪互通至</w:t>
            </w:r>
            <w:r>
              <w:rPr>
                <w:rFonts w:hint="eastAsia" w:ascii="仿宋_GB2312" w:hAnsi="宋体" w:cs="宋体"/>
                <w:color w:val="000000"/>
                <w:kern w:val="0"/>
                <w:sz w:val="20"/>
                <w:lang w:eastAsia="zh-CN"/>
              </w:rPr>
              <w:t>杭垓</w:t>
            </w:r>
            <w:r>
              <w:rPr>
                <w:rFonts w:hint="eastAsia" w:ascii="仿宋_GB2312" w:hAnsi="宋体" w:cs="宋体"/>
                <w:color w:val="000000"/>
                <w:kern w:val="0"/>
                <w:sz w:val="20"/>
              </w:rPr>
              <w:t>互通段，且进出均在杭长高速天子湖、安吉北、安吉开发区、安吉收费站，申嘉湖高速公路梅溪、孝源</w:t>
            </w:r>
            <w:r>
              <w:rPr>
                <w:rFonts w:hint="eastAsia" w:ascii="仿宋_GB2312" w:hAnsi="宋体" w:cs="宋体"/>
                <w:color w:val="000000"/>
                <w:kern w:val="0"/>
                <w:sz w:val="20"/>
                <w:lang w:eastAsia="zh-CN"/>
              </w:rPr>
              <w:t>、孝丰、报福、杭垓</w:t>
            </w:r>
            <w:r>
              <w:rPr>
                <w:rFonts w:hint="eastAsia" w:ascii="仿宋_GB2312" w:hAnsi="宋体" w:cs="宋体"/>
                <w:color w:val="000000"/>
                <w:kern w:val="0"/>
                <w:sz w:val="20"/>
              </w:rPr>
              <w:t>收费站等</w:t>
            </w:r>
            <w:r>
              <w:rPr>
                <w:rFonts w:hint="eastAsia" w:ascii="仿宋_GB2312" w:hAnsi="宋体" w:cs="宋体"/>
                <w:color w:val="000000"/>
                <w:kern w:val="0"/>
                <w:sz w:val="20"/>
                <w:lang w:val="en-US" w:eastAsia="zh-CN"/>
              </w:rPr>
              <w:t>9</w:t>
            </w:r>
            <w:r>
              <w:rPr>
                <w:rFonts w:hint="eastAsia" w:ascii="仿宋_GB2312" w:hAnsi="宋体" w:cs="宋体"/>
                <w:color w:val="000000"/>
                <w:kern w:val="0"/>
                <w:sz w:val="20"/>
              </w:rPr>
              <w:t>个收费站，并使用ETC记账卡的浙E牌照1类客车免收通行费。</w:t>
            </w:r>
          </w:p>
        </w:tc>
        <w:tc>
          <w:tcPr>
            <w:tcW w:w="1125" w:type="dxa"/>
            <w:vMerge w:val="continue"/>
            <w:noWrap w:val="0"/>
            <w:vAlign w:val="center"/>
          </w:tcPr>
          <w:p>
            <w:pPr>
              <w:widowControl/>
              <w:jc w:val="center"/>
              <w:rPr>
                <w:rFonts w:ascii="仿宋_GB2312" w:hAnsi="宋体" w:cs="宋体"/>
                <w:color w:val="000000"/>
                <w:kern w:val="0"/>
                <w:sz w:val="20"/>
              </w:rPr>
            </w:pPr>
          </w:p>
        </w:tc>
        <w:tc>
          <w:tcPr>
            <w:tcW w:w="1237" w:type="dxa"/>
            <w:noWrap w:val="0"/>
            <w:vAlign w:val="center"/>
          </w:tcPr>
          <w:p>
            <w:pPr>
              <w:widowControl/>
              <w:jc w:val="center"/>
              <w:rPr>
                <w:rFonts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457" w:type="dxa"/>
            <w:shd w:val="clear" w:color="auto" w:fill="auto"/>
            <w:noWrap/>
            <w:vAlign w:val="center"/>
          </w:tcPr>
          <w:p>
            <w:pPr>
              <w:widowControl/>
              <w:jc w:val="center"/>
              <w:rPr>
                <w:rFonts w:hint="eastAsia" w:ascii="仿宋_GB2312" w:hAnsi="宋体" w:eastAsia="仿宋_GB2312" w:cs="宋体"/>
                <w:color w:val="000000"/>
                <w:kern w:val="0"/>
                <w:sz w:val="20"/>
                <w:lang w:eastAsia="zh-CN"/>
              </w:rPr>
            </w:pPr>
            <w:r>
              <w:rPr>
                <w:rFonts w:hint="eastAsia" w:ascii="仿宋_GB2312" w:hAnsi="宋体" w:cs="宋体"/>
                <w:color w:val="000000"/>
                <w:kern w:val="0"/>
                <w:sz w:val="20"/>
              </w:rPr>
              <w:t>2</w:t>
            </w:r>
            <w:r>
              <w:rPr>
                <w:rFonts w:hint="eastAsia" w:ascii="仿宋_GB2312" w:hAnsi="宋体" w:cs="宋体"/>
                <w:color w:val="000000"/>
                <w:kern w:val="0"/>
                <w:sz w:val="20"/>
                <w:lang w:val="en-US" w:eastAsia="zh-CN"/>
              </w:rPr>
              <w:t>1</w:t>
            </w:r>
          </w:p>
        </w:tc>
        <w:tc>
          <w:tcPr>
            <w:tcW w:w="2318" w:type="dxa"/>
            <w:shd w:val="clear" w:color="000000" w:fill="FFFFFF"/>
            <w:noWrap w:val="0"/>
            <w:vAlign w:val="center"/>
          </w:tcPr>
          <w:p>
            <w:pPr>
              <w:widowControl/>
              <w:jc w:val="left"/>
              <w:rPr>
                <w:rFonts w:hint="eastAsia" w:ascii="仿宋_GB2312" w:hAnsi="宋体" w:cs="宋体"/>
                <w:color w:val="000000"/>
                <w:kern w:val="0"/>
                <w:sz w:val="20"/>
              </w:rPr>
            </w:pPr>
            <w:r>
              <w:rPr>
                <w:rFonts w:hint="eastAsia" w:ascii="仿宋_GB2312" w:hAnsi="宋体" w:cs="宋体"/>
                <w:color w:val="000000"/>
                <w:kern w:val="0"/>
                <w:sz w:val="20"/>
              </w:rPr>
              <w:t>德清县境内高速公路部分客车差异化收费</w:t>
            </w:r>
          </w:p>
        </w:tc>
        <w:tc>
          <w:tcPr>
            <w:tcW w:w="4448" w:type="dxa"/>
            <w:shd w:val="clear" w:color="000000" w:fill="FFFFFF"/>
            <w:noWrap w:val="0"/>
            <w:vAlign w:val="center"/>
          </w:tcPr>
          <w:p>
            <w:pPr>
              <w:widowControl/>
              <w:jc w:val="left"/>
              <w:rPr>
                <w:rFonts w:hint="eastAsia" w:ascii="仿宋_GB2312" w:hAnsi="宋体" w:cs="宋体"/>
                <w:color w:val="000000"/>
                <w:kern w:val="0"/>
                <w:sz w:val="20"/>
              </w:rPr>
            </w:pPr>
            <w:r>
              <w:rPr>
                <w:rFonts w:hint="eastAsia" w:ascii="仿宋_GB2312" w:hAnsi="宋体" w:cs="宋体"/>
                <w:color w:val="000000"/>
                <w:kern w:val="0"/>
                <w:sz w:val="20"/>
              </w:rPr>
              <w:t>对仅行驶练杭高速公路桐乡西互通至雷甸互通段、杭宁高速公路德清北互通至德清互通段、杭州绕城高速公路西复线舞阳互通至新市枢纽段，且进出均在练杭高速公路桐乡西、新安、新市、雷甸收费站，杭宁高速公路德清北、德清收费站，杭州绕城高速公路西复线舞阳、莫干山、阜溪、莫干山高新区、乾元、钟管、新市西收费站等13个收费站，并使用ETC记账卡的浙E牌照1类客车免收通行费。</w:t>
            </w:r>
          </w:p>
        </w:tc>
        <w:tc>
          <w:tcPr>
            <w:tcW w:w="1125" w:type="dxa"/>
            <w:vMerge w:val="continue"/>
            <w:noWrap w:val="0"/>
            <w:vAlign w:val="center"/>
          </w:tcPr>
          <w:p>
            <w:pPr>
              <w:widowControl/>
              <w:jc w:val="center"/>
              <w:rPr>
                <w:rFonts w:ascii="仿宋_GB2312" w:hAnsi="宋体" w:cs="宋体"/>
                <w:color w:val="000000"/>
                <w:kern w:val="0"/>
                <w:sz w:val="20"/>
              </w:rPr>
            </w:pPr>
          </w:p>
        </w:tc>
        <w:tc>
          <w:tcPr>
            <w:tcW w:w="1237" w:type="dxa"/>
            <w:noWrap w:val="0"/>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457" w:type="dxa"/>
            <w:shd w:val="clear" w:color="auto" w:fill="auto"/>
            <w:noWrap/>
            <w:vAlign w:val="center"/>
          </w:tcPr>
          <w:p>
            <w:pPr>
              <w:widowControl/>
              <w:jc w:val="center"/>
              <w:rPr>
                <w:rFonts w:hint="eastAsia" w:ascii="仿宋_GB2312" w:hAnsi="宋体" w:eastAsia="仿宋_GB2312" w:cs="宋体"/>
                <w:color w:val="000000"/>
                <w:kern w:val="0"/>
                <w:sz w:val="20"/>
                <w:lang w:eastAsia="zh-CN"/>
              </w:rPr>
            </w:pPr>
            <w:r>
              <w:rPr>
                <w:rFonts w:hint="eastAsia" w:ascii="仿宋_GB2312" w:hAnsi="宋体" w:cs="宋体"/>
                <w:color w:val="000000"/>
                <w:kern w:val="0"/>
                <w:sz w:val="20"/>
              </w:rPr>
              <w:t>2</w:t>
            </w:r>
            <w:r>
              <w:rPr>
                <w:rFonts w:hint="eastAsia" w:ascii="仿宋_GB2312" w:hAnsi="宋体" w:cs="宋体"/>
                <w:color w:val="000000"/>
                <w:kern w:val="0"/>
                <w:sz w:val="20"/>
                <w:lang w:val="en-US" w:eastAsia="zh-CN"/>
              </w:rPr>
              <w:t>2</w:t>
            </w:r>
          </w:p>
        </w:tc>
        <w:tc>
          <w:tcPr>
            <w:tcW w:w="2318" w:type="dxa"/>
            <w:shd w:val="clear" w:color="000000" w:fill="FFFFFF"/>
            <w:noWrap w:val="0"/>
            <w:vAlign w:val="center"/>
          </w:tcPr>
          <w:p>
            <w:pPr>
              <w:widowControl/>
              <w:jc w:val="left"/>
              <w:rPr>
                <w:rFonts w:hint="eastAsia" w:ascii="仿宋_GB2312" w:hAnsi="宋体" w:cs="宋体"/>
                <w:color w:val="000000"/>
                <w:kern w:val="0"/>
                <w:sz w:val="20"/>
              </w:rPr>
            </w:pPr>
            <w:r>
              <w:rPr>
                <w:rFonts w:hint="eastAsia" w:ascii="仿宋_GB2312" w:hAnsi="宋体" w:cs="宋体"/>
                <w:color w:val="000000"/>
                <w:kern w:val="0"/>
                <w:sz w:val="20"/>
              </w:rPr>
              <w:t>景宁、云和境内部分高速公路客车差异化收费</w:t>
            </w:r>
          </w:p>
        </w:tc>
        <w:tc>
          <w:tcPr>
            <w:tcW w:w="4448" w:type="dxa"/>
            <w:shd w:val="clear" w:color="000000" w:fill="FFFFFF"/>
            <w:noWrap w:val="0"/>
            <w:vAlign w:val="center"/>
          </w:tcPr>
          <w:p>
            <w:pPr>
              <w:widowControl/>
              <w:jc w:val="left"/>
              <w:rPr>
                <w:rFonts w:hint="eastAsia" w:ascii="仿宋_GB2312" w:hAnsi="宋体" w:cs="宋体"/>
                <w:color w:val="000000"/>
                <w:kern w:val="0"/>
                <w:sz w:val="20"/>
              </w:rPr>
            </w:pPr>
            <w:r>
              <w:rPr>
                <w:rFonts w:hint="eastAsia" w:ascii="仿宋_GB2312" w:hAnsi="宋体" w:cs="宋体"/>
                <w:color w:val="000000"/>
                <w:kern w:val="0"/>
                <w:sz w:val="20"/>
              </w:rPr>
              <w:t>对仅往返云景高速公路景宁收费站至龙丽丽龙高速公路云和收费站之间路段，且使用ETC记账卡的1类客车实施通行费优惠，按5元/车次收取。</w:t>
            </w:r>
          </w:p>
        </w:tc>
        <w:tc>
          <w:tcPr>
            <w:tcW w:w="1125" w:type="dxa"/>
            <w:vMerge w:val="continue"/>
            <w:noWrap w:val="0"/>
            <w:vAlign w:val="center"/>
          </w:tcPr>
          <w:p>
            <w:pPr>
              <w:widowControl/>
              <w:jc w:val="left"/>
              <w:rPr>
                <w:rFonts w:hint="eastAsia" w:ascii="仿宋_GB2312" w:hAnsi="宋体" w:cs="宋体"/>
                <w:color w:val="000000"/>
                <w:kern w:val="0"/>
                <w:sz w:val="20"/>
              </w:rPr>
            </w:pPr>
          </w:p>
        </w:tc>
        <w:tc>
          <w:tcPr>
            <w:tcW w:w="1237" w:type="dxa"/>
            <w:noWrap w:val="0"/>
            <w:vAlign w:val="center"/>
          </w:tcPr>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2023年11月</w:t>
            </w:r>
            <w:r>
              <w:rPr>
                <w:rFonts w:hint="eastAsia" w:ascii="仿宋_GB2312" w:hAnsi="宋体" w:cs="宋体"/>
                <w:color w:val="000000"/>
                <w:kern w:val="0"/>
                <w:sz w:val="20"/>
                <w:lang w:val="en"/>
              </w:rPr>
              <w:t>21</w:t>
            </w:r>
            <w:r>
              <w:rPr>
                <w:rFonts w:hint="eastAsia" w:ascii="仿宋_GB2312" w:hAnsi="宋体" w:cs="宋体"/>
                <w:color w:val="000000"/>
                <w:kern w:val="0"/>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457" w:type="dxa"/>
            <w:shd w:val="clear" w:color="auto" w:fill="auto"/>
            <w:noWrap/>
            <w:vAlign w:val="center"/>
          </w:tcPr>
          <w:p>
            <w:pPr>
              <w:widowControl/>
              <w:jc w:val="center"/>
              <w:rPr>
                <w:rFonts w:hint="default" w:ascii="仿宋_GB2312" w:hAnsi="宋体" w:eastAsia="仿宋_GB2312" w:cs="宋体"/>
                <w:color w:val="000000"/>
                <w:kern w:val="0"/>
                <w:sz w:val="20"/>
                <w:lang w:val="en-US" w:eastAsia="zh-CN"/>
              </w:rPr>
            </w:pPr>
            <w:r>
              <w:rPr>
                <w:rFonts w:hint="eastAsia" w:ascii="仿宋_GB2312" w:hAnsi="宋体" w:cs="宋体"/>
                <w:color w:val="000000"/>
                <w:kern w:val="0"/>
                <w:sz w:val="20"/>
                <w:lang w:val="en-US" w:eastAsia="zh-CN"/>
              </w:rPr>
              <w:t>23</w:t>
            </w:r>
          </w:p>
        </w:tc>
        <w:tc>
          <w:tcPr>
            <w:tcW w:w="2318" w:type="dxa"/>
            <w:shd w:val="clear" w:color="000000" w:fill="FFFFFF"/>
            <w:noWrap w:val="0"/>
            <w:vAlign w:val="center"/>
          </w:tcPr>
          <w:p>
            <w:pPr>
              <w:widowControl/>
              <w:jc w:val="left"/>
              <w:rPr>
                <w:rFonts w:hint="eastAsia" w:ascii="仿宋_GB2312" w:hAnsi="宋体" w:cs="宋体"/>
                <w:color w:val="000000"/>
                <w:kern w:val="0"/>
                <w:sz w:val="20"/>
              </w:rPr>
            </w:pPr>
            <w:r>
              <w:rPr>
                <w:rFonts w:hint="eastAsia" w:ascii="仿宋_GB2312" w:hAnsi="宋体" w:cs="宋体"/>
                <w:color w:val="000000"/>
                <w:kern w:val="0"/>
                <w:sz w:val="20"/>
              </w:rPr>
              <w:t>宁波舟山港主通道公路岑港至双合段部分客车差异化收费</w:t>
            </w:r>
          </w:p>
        </w:tc>
        <w:tc>
          <w:tcPr>
            <w:tcW w:w="4448" w:type="dxa"/>
            <w:shd w:val="clear" w:color="000000" w:fill="FFFFFF"/>
            <w:noWrap w:val="0"/>
            <w:vAlign w:val="center"/>
          </w:tcPr>
          <w:p>
            <w:pPr>
              <w:widowControl/>
              <w:jc w:val="left"/>
              <w:rPr>
                <w:rFonts w:hint="eastAsia" w:ascii="仿宋_GB2312" w:hAnsi="宋体" w:cs="宋体"/>
                <w:color w:val="000000"/>
                <w:kern w:val="0"/>
                <w:sz w:val="20"/>
              </w:rPr>
            </w:pPr>
            <w:r>
              <w:rPr>
                <w:rFonts w:hint="eastAsia" w:ascii="仿宋_GB2312" w:hAnsi="宋体" w:cs="宋体"/>
                <w:color w:val="000000"/>
                <w:kern w:val="0"/>
                <w:sz w:val="20"/>
              </w:rPr>
              <w:t>对仅通行宁波舟山港主通道公路岑港至双合段、安装并使用ETC车载装置的1类客车通行费实行九折优惠,对跨路段通行安装并使用ETC车载装置的1类客车在本路段的里程费和叠加费实行九折优惠、车次费实行九五折优惠。</w:t>
            </w:r>
          </w:p>
        </w:tc>
        <w:tc>
          <w:tcPr>
            <w:tcW w:w="1125" w:type="dxa"/>
            <w:noWrap w:val="0"/>
            <w:vAlign w:val="center"/>
          </w:tcPr>
          <w:p>
            <w:pPr>
              <w:jc w:val="center"/>
              <w:rPr>
                <w:rFonts w:hint="eastAsia" w:ascii="仿宋_GB2312" w:hAnsi="宋体" w:cs="宋体"/>
                <w:color w:val="000000"/>
                <w:kern w:val="0"/>
                <w:sz w:val="20"/>
              </w:rPr>
            </w:pPr>
            <w:r>
              <w:rPr>
                <w:rFonts w:hint="eastAsia" w:ascii="仿宋_GB2312" w:hAnsi="宋体" w:cs="宋体"/>
                <w:color w:val="000000"/>
                <w:kern w:val="0"/>
                <w:sz w:val="20"/>
              </w:rPr>
              <w:t>分路段</w:t>
            </w:r>
          </w:p>
          <w:p>
            <w:pPr>
              <w:jc w:val="center"/>
              <w:rPr>
                <w:rFonts w:hint="eastAsia" w:ascii="仿宋_GB2312" w:hAnsi="宋体" w:cs="宋体"/>
                <w:color w:val="000000"/>
                <w:kern w:val="0"/>
                <w:sz w:val="20"/>
              </w:rPr>
            </w:pPr>
            <w:r>
              <w:rPr>
                <w:rFonts w:hint="eastAsia" w:ascii="仿宋_GB2312" w:hAnsi="宋体" w:cs="宋体"/>
                <w:color w:val="000000"/>
                <w:kern w:val="0"/>
                <w:sz w:val="20"/>
              </w:rPr>
              <w:t>分车型</w:t>
            </w:r>
          </w:p>
          <w:p>
            <w:pPr>
              <w:widowControl/>
              <w:jc w:val="center"/>
              <w:rPr>
                <w:rFonts w:hint="eastAsia" w:ascii="仿宋_GB2312" w:hAnsi="宋体" w:cs="宋体"/>
                <w:color w:val="000000"/>
                <w:kern w:val="0"/>
                <w:sz w:val="20"/>
              </w:rPr>
            </w:pPr>
            <w:r>
              <w:rPr>
                <w:rFonts w:hint="eastAsia" w:ascii="仿宋_GB2312" w:hAnsi="宋体" w:cs="宋体"/>
                <w:color w:val="000000"/>
                <w:kern w:val="0"/>
                <w:sz w:val="20"/>
              </w:rPr>
              <w:t>分支付方式</w:t>
            </w:r>
          </w:p>
        </w:tc>
        <w:tc>
          <w:tcPr>
            <w:tcW w:w="1237" w:type="dxa"/>
            <w:noWrap w:val="0"/>
            <w:vAlign w:val="center"/>
          </w:tcPr>
          <w:p>
            <w:pPr>
              <w:widowControl/>
              <w:jc w:val="center"/>
              <w:rPr>
                <w:rFonts w:hint="eastAsia" w:ascii="仿宋_GB2312" w:hAnsi="宋体" w:eastAsia="仿宋_GB2312" w:cs="宋体"/>
                <w:color w:val="000000"/>
                <w:kern w:val="0"/>
                <w:sz w:val="20"/>
                <w:lang w:eastAsia="zh-CN"/>
              </w:rPr>
            </w:pPr>
            <w:r>
              <w:rPr>
                <w:rFonts w:hint="eastAsia" w:ascii="仿宋_GB2312" w:hAnsi="宋体" w:cs="宋体"/>
                <w:color w:val="000000"/>
                <w:kern w:val="0"/>
                <w:sz w:val="20"/>
                <w:lang w:eastAsia="zh-CN"/>
              </w:rPr>
              <w:t>长期</w:t>
            </w:r>
          </w:p>
        </w:tc>
      </w:tr>
    </w:tbl>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hint="eastAsia" w:ascii="黑体" w:hAnsi="黑体" w:eastAsia="黑体" w:cs="HiddenHorzOCR"/>
          <w:kern w:val="0"/>
          <w:szCs w:val="32"/>
        </w:rPr>
      </w:pPr>
    </w:p>
    <w:p>
      <w:pPr>
        <w:spacing w:line="580" w:lineRule="exact"/>
        <w:rPr>
          <w:rFonts w:ascii="黑体" w:hAnsi="黑体" w:eastAsia="黑体" w:cs="HiddenHorzOCR"/>
          <w:kern w:val="0"/>
          <w:szCs w:val="32"/>
        </w:rPr>
      </w:pPr>
      <w:r>
        <w:rPr>
          <w:rFonts w:hint="eastAsia" w:ascii="黑体" w:hAnsi="黑体" w:eastAsia="黑体" w:cs="HiddenHorzOCR"/>
          <w:kern w:val="0"/>
          <w:szCs w:val="32"/>
        </w:rPr>
        <w:t>附件2</w:t>
      </w:r>
    </w:p>
    <w:p>
      <w:pPr>
        <w:spacing w:line="580" w:lineRule="exact"/>
        <w:rPr>
          <w:rFonts w:ascii="仿宋_GB2312" w:cs="HiddenHorzOCR"/>
          <w:kern w:val="0"/>
          <w:szCs w:val="32"/>
        </w:rPr>
      </w:pPr>
    </w:p>
    <w:p>
      <w:pPr>
        <w:spacing w:line="580" w:lineRule="exact"/>
        <w:jc w:val="center"/>
        <w:rPr>
          <w:rFonts w:ascii="方正小标宋简体" w:eastAsia="方正小标宋简体" w:cs="HiddenHorzOCR"/>
          <w:kern w:val="0"/>
          <w:sz w:val="44"/>
          <w:szCs w:val="44"/>
        </w:rPr>
      </w:pPr>
      <w:r>
        <w:rPr>
          <w:rFonts w:hint="eastAsia" w:ascii="方正小标宋简体" w:eastAsia="方正小标宋简体" w:cs="HiddenHorzOCR"/>
          <w:kern w:val="0"/>
          <w:sz w:val="44"/>
          <w:szCs w:val="44"/>
        </w:rPr>
        <w:t>高速公路差异化收费实施要点</w:t>
      </w:r>
    </w:p>
    <w:p>
      <w:pPr>
        <w:spacing w:line="580" w:lineRule="exact"/>
        <w:ind w:firstLine="640" w:firstLineChars="200"/>
        <w:rPr>
          <w:rFonts w:ascii="仿宋_GB2312"/>
          <w:szCs w:val="32"/>
        </w:rPr>
      </w:pPr>
    </w:p>
    <w:p>
      <w:pPr>
        <w:spacing w:line="580" w:lineRule="exact"/>
        <w:ind w:firstLine="640" w:firstLineChars="200"/>
        <w:rPr>
          <w:rFonts w:ascii="仿宋_GB2312"/>
          <w:szCs w:val="32"/>
        </w:rPr>
      </w:pPr>
      <w:r>
        <w:rPr>
          <w:rFonts w:hint="eastAsia" w:ascii="黑体" w:hAnsi="黑体" w:eastAsia="黑体"/>
          <w:szCs w:val="32"/>
        </w:rPr>
        <w:t>一、分路段差异化收费。</w:t>
      </w:r>
      <w:r>
        <w:rPr>
          <w:rFonts w:hint="eastAsia" w:ascii="仿宋_GB2312"/>
          <w:szCs w:val="32"/>
        </w:rPr>
        <w:t>重点在普通国省干线公路或城市道路拥堵严重但平行高速公路交通流量较小的路段、平行高速公路之间交通量差异较大的路段以及交通量明显低于设计能力的路段，实施灵活多样的差异化收费，利用价格杠杆，均衡路网交通流量分布，提高区域路网整体运行效率，促进区域物流运输降本增效。</w:t>
      </w:r>
    </w:p>
    <w:p>
      <w:pPr>
        <w:spacing w:line="580" w:lineRule="exact"/>
        <w:ind w:firstLine="640" w:firstLineChars="200"/>
        <w:rPr>
          <w:rFonts w:ascii="仿宋_GB2312"/>
          <w:szCs w:val="32"/>
        </w:rPr>
      </w:pPr>
      <w:r>
        <w:rPr>
          <w:rFonts w:hint="eastAsia" w:ascii="黑体" w:hAnsi="黑体" w:eastAsia="黑体"/>
          <w:szCs w:val="32"/>
        </w:rPr>
        <w:t>二、分车型（类）差异化收费。</w:t>
      </w:r>
      <w:r>
        <w:rPr>
          <w:rFonts w:hint="eastAsia" w:ascii="仿宋_GB2312"/>
          <w:szCs w:val="32"/>
        </w:rPr>
        <w:t>结合实际情况，对不同车型（类）普通货车或国际标准集装箱运输车辆、危险货物运输罐式车辆等专用运输车辆实施差异化收费，提高专业运输效率，支持物流运输转型升级，促进实体经济发展。</w:t>
      </w:r>
    </w:p>
    <w:p>
      <w:pPr>
        <w:spacing w:line="580" w:lineRule="exact"/>
        <w:ind w:firstLine="640" w:firstLineChars="200"/>
        <w:rPr>
          <w:rFonts w:ascii="仿宋_GB2312"/>
          <w:szCs w:val="32"/>
        </w:rPr>
      </w:pPr>
      <w:r>
        <w:rPr>
          <w:rFonts w:hint="eastAsia" w:ascii="黑体" w:hAnsi="黑体" w:eastAsia="黑体"/>
          <w:szCs w:val="32"/>
        </w:rPr>
        <w:t>三、分时段差异化收费。</w:t>
      </w:r>
      <w:r>
        <w:rPr>
          <w:rFonts w:hint="eastAsia" w:ascii="仿宋_GB2312"/>
          <w:szCs w:val="32"/>
        </w:rPr>
        <w:t>重点针对交通量波峰波谷明显、承担较多通勤功能的高速公路路段，在不同时段执行差异化的收费标准，引导客、货运车辆错峰出行，缓解高峰时段交通拥堵，均衡路网时空分布，提升路网畅通水平。</w:t>
      </w:r>
    </w:p>
    <w:p>
      <w:pPr>
        <w:spacing w:line="580" w:lineRule="exact"/>
        <w:ind w:firstLine="640" w:firstLineChars="200"/>
        <w:rPr>
          <w:rFonts w:ascii="仿宋_GB2312"/>
          <w:szCs w:val="32"/>
        </w:rPr>
      </w:pPr>
      <w:r>
        <w:rPr>
          <w:rFonts w:hint="eastAsia" w:ascii="黑体" w:hAnsi="黑体" w:eastAsia="黑体"/>
          <w:szCs w:val="32"/>
        </w:rPr>
        <w:t>四、分出入口差异化收费。</w:t>
      </w:r>
      <w:r>
        <w:rPr>
          <w:rFonts w:hint="eastAsia" w:ascii="仿宋_GB2312"/>
          <w:szCs w:val="32"/>
        </w:rPr>
        <w:t>重点针对邻近港口和大型工矿企业的高速公路出入口、交通量差异较大的相邻平行路段、城市周边高速公路项目等特定区间、特定出入口实施分出入口差异化收费，扩大精准调流降费的实施效果。</w:t>
      </w:r>
    </w:p>
    <w:p>
      <w:pPr>
        <w:spacing w:line="580" w:lineRule="exact"/>
        <w:ind w:firstLine="640" w:firstLineChars="200"/>
        <w:rPr>
          <w:rFonts w:hint="eastAsia" w:ascii="仿宋_GB2312"/>
          <w:szCs w:val="32"/>
        </w:rPr>
      </w:pPr>
      <w:r>
        <w:rPr>
          <w:rFonts w:hint="eastAsia" w:ascii="黑体" w:hAnsi="黑体" w:eastAsia="黑体"/>
          <w:szCs w:val="32"/>
        </w:rPr>
        <w:t>五、分方向差异化收费。</w:t>
      </w:r>
      <w:r>
        <w:rPr>
          <w:rFonts w:hint="eastAsia" w:ascii="仿宋_GB2312"/>
          <w:szCs w:val="32"/>
        </w:rPr>
        <w:t>重点针对资源省份货物单向运输特征明显的高速公路，可对上行方向和下行方向实施差异化收费，利用价格杠杆，引导车辆科学合理地使用公路资源。</w:t>
      </w:r>
    </w:p>
    <w:p>
      <w:pPr>
        <w:spacing w:line="580" w:lineRule="exact"/>
        <w:ind w:firstLine="640" w:firstLineChars="200"/>
        <w:rPr>
          <w:rFonts w:hint="eastAsia" w:ascii="仿宋_GB2312"/>
          <w:szCs w:val="32"/>
        </w:rPr>
      </w:pPr>
      <w:r>
        <w:rPr>
          <w:rFonts w:hint="eastAsia" w:ascii="黑体" w:hAnsi="黑体" w:eastAsia="黑体"/>
          <w:szCs w:val="32"/>
        </w:rPr>
        <w:t>六、分支付方式差异化收费。</w:t>
      </w:r>
      <w:r>
        <w:rPr>
          <w:rFonts w:hint="eastAsia" w:ascii="仿宋_GB2312"/>
          <w:szCs w:val="32"/>
        </w:rPr>
        <w:t>进一步完善ETC电子支付优惠模式，通过加大ETC电子支付优惠力度，鼓励引导车辆安装使用ETC不停车快捷通行高速公路，提高路网通行效率，促进物流提质增效。</w:t>
      </w:r>
    </w:p>
    <w:p>
      <w:pPr>
        <w:spacing w:line="580" w:lineRule="atLeast"/>
        <w:ind w:right="1294"/>
        <w:rPr>
          <w:rFonts w:hint="eastAsia" w:ascii="仿宋_GB2312"/>
        </w:rPr>
      </w:pPr>
    </w:p>
    <w:p>
      <w:pPr>
        <w:spacing w:line="580" w:lineRule="atLeast"/>
        <w:ind w:right="1294"/>
        <w:rPr>
          <w:rFonts w:ascii="仿宋_GB2312"/>
        </w:rPr>
      </w:pPr>
    </w:p>
    <w:p>
      <w:bookmarkStart w:id="0" w:name="bodyEnd"/>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HiddenHorzOCR">
    <w:altName w:val="Yu Gothic"/>
    <w:panose1 w:val="00000000000000000000"/>
    <w:charset w:val="80"/>
    <w:family w:val="auto"/>
    <w:pitch w:val="default"/>
    <w:sig w:usb0="00000000" w:usb1="00000000" w:usb2="00000010" w:usb3="00000000" w:csb0="0002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90796"/>
    <w:rsid w:val="34090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方案正文"/>
    <w:qFormat/>
    <w:uiPriority w:val="0"/>
    <w:pPr>
      <w:spacing w:line="360" w:lineRule="auto"/>
      <w:ind w:firstLine="200" w:firstLineChars="200"/>
    </w:pPr>
    <w:rPr>
      <w:rFonts w:ascii="Times New Roman" w:hAnsi="Times New Roman" w:eastAsia="仿宋"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2022-01-12T07:14:00Z</dcterms:created>
  <dc:creator>dell</dc:creator>
  <cp:lastModifiedBy>dell</cp:lastModifiedBy>
  <dcterms:modified xsi:type="dcterms:W3CDTF">2022-01-12T07:14:48Z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9844B15570EE45B79F4566991320CBA6</vt:lpwstr>
  </property>
</Properties>
</file>