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B0C1" w14:textId="77777777" w:rsidR="001165BD" w:rsidRPr="00205A90" w:rsidRDefault="001165BD" w:rsidP="001165BD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 w:rsidRPr="00205A90"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浙江省科学技术奖</w:t>
      </w:r>
      <w:r w:rsidRPr="00205A90"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 w:rsidRPr="00205A90"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14:paraId="3CAEA6D1" w14:textId="443FCC6C" w:rsidR="001165BD" w:rsidRPr="004B599C" w:rsidRDefault="00A46380" w:rsidP="001165BD">
      <w:pPr>
        <w:spacing w:line="440" w:lineRule="exact"/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</w:pPr>
      <w:r w:rsidRPr="004B599C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</w:t>
      </w:r>
      <w:r w:rsidR="001165BD" w:rsidRPr="004B599C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科学技术进步奖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54"/>
      </w:tblGrid>
      <w:tr w:rsidR="001165BD" w:rsidRPr="004B599C" w14:paraId="51A22068" w14:textId="77777777" w:rsidTr="004A2FA2">
        <w:trPr>
          <w:trHeight w:val="647"/>
          <w:jc w:val="center"/>
        </w:trPr>
        <w:tc>
          <w:tcPr>
            <w:tcW w:w="1872" w:type="dxa"/>
            <w:vAlign w:val="center"/>
          </w:tcPr>
          <w:p w14:paraId="13427D70" w14:textId="77777777" w:rsidR="001165BD" w:rsidRPr="004B599C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4B599C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7054" w:type="dxa"/>
            <w:vAlign w:val="center"/>
          </w:tcPr>
          <w:p w14:paraId="78D2FF89" w14:textId="4E20A85E" w:rsidR="001165BD" w:rsidRPr="004B599C" w:rsidRDefault="00AF4961" w:rsidP="00AF4961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bCs w:val="0"/>
                <w:color w:val="auto"/>
                <w:sz w:val="28"/>
                <w:szCs w:val="21"/>
              </w:rPr>
            </w:pPr>
            <w:r w:rsidRPr="004B599C">
              <w:rPr>
                <w:rFonts w:ascii="仿宋_GB2312" w:eastAsia="仿宋_GB2312" w:hAnsi="仿宋" w:hint="eastAsia"/>
                <w:sz w:val="28"/>
                <w:szCs w:val="21"/>
              </w:rPr>
              <w:t>软土地区吹填（开挖）对桥梁桩基的影响及处理措施研究</w:t>
            </w:r>
          </w:p>
        </w:tc>
      </w:tr>
      <w:tr w:rsidR="001165BD" w:rsidRPr="004B599C" w14:paraId="42AA41A8" w14:textId="77777777" w:rsidTr="004A2FA2">
        <w:trPr>
          <w:trHeight w:val="397"/>
          <w:jc w:val="center"/>
        </w:trPr>
        <w:tc>
          <w:tcPr>
            <w:tcW w:w="1872" w:type="dxa"/>
            <w:vAlign w:val="center"/>
          </w:tcPr>
          <w:p w14:paraId="53C21683" w14:textId="77777777" w:rsidR="001165BD" w:rsidRPr="004B599C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4B599C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7054" w:type="dxa"/>
            <w:vAlign w:val="center"/>
          </w:tcPr>
          <w:p w14:paraId="57E68C89" w14:textId="46ED9D00" w:rsidR="001165BD" w:rsidRPr="004B599C" w:rsidRDefault="00AF4961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1"/>
              </w:rPr>
            </w:pPr>
            <w:r w:rsidRPr="004B599C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1"/>
              </w:rPr>
              <w:t>二等奖</w:t>
            </w:r>
          </w:p>
        </w:tc>
      </w:tr>
      <w:tr w:rsidR="001165BD" w:rsidRPr="004B599C" w14:paraId="48F134B1" w14:textId="77777777" w:rsidTr="004A2FA2">
        <w:trPr>
          <w:trHeight w:val="2461"/>
          <w:jc w:val="center"/>
        </w:trPr>
        <w:tc>
          <w:tcPr>
            <w:tcW w:w="1872" w:type="dxa"/>
            <w:vAlign w:val="center"/>
          </w:tcPr>
          <w:p w14:paraId="18A5945D" w14:textId="77777777" w:rsidR="001165BD" w:rsidRPr="004B599C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23396E75" w14:textId="77777777" w:rsidR="001165BD" w:rsidRPr="004B599C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054" w:type="dxa"/>
            <w:vAlign w:val="center"/>
          </w:tcPr>
          <w:p w14:paraId="1695DA18" w14:textId="77777777" w:rsidR="00E34A41" w:rsidRPr="004B599C" w:rsidRDefault="00E34A41" w:rsidP="00E34A41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专利：</w:t>
            </w:r>
          </w:p>
          <w:p w14:paraId="2CBE6EDE" w14:textId="77777777" w:rsidR="004A2FA2" w:rsidRPr="004B599C" w:rsidRDefault="00274BDC" w:rsidP="006306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[1]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静钻挤扩支盘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与管桩的组合桩型及其施工方法.</w:t>
            </w:r>
          </w:p>
          <w:p w14:paraId="4C0B6822" w14:textId="20B012FE" w:rsidR="00274BDC" w:rsidRPr="004B599C" w:rsidRDefault="00274BDC" w:rsidP="006306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授权发明专利.ZL201710012812.1</w:t>
            </w:r>
          </w:p>
          <w:p w14:paraId="1BF7A635" w14:textId="77777777" w:rsidR="004A2FA2" w:rsidRPr="004B599C" w:rsidRDefault="004A2FA2" w:rsidP="006306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[2]可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移动式漏砂装置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及利用其</w:t>
            </w:r>
            <w:bookmarkStart w:id="0" w:name="_GoBack"/>
            <w:bookmarkEnd w:id="0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制备砂土的制样方法. </w:t>
            </w:r>
          </w:p>
          <w:p w14:paraId="23B50370" w14:textId="06B005FD" w:rsidR="004A2FA2" w:rsidRPr="004B599C" w:rsidRDefault="004A2FA2" w:rsidP="006306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授权发明专利.ZL201710842989.4</w:t>
            </w:r>
          </w:p>
          <w:p w14:paraId="0DDC83BE" w14:textId="02C7280B" w:rsidR="00E34A41" w:rsidRPr="004B599C" w:rsidRDefault="00E34A41" w:rsidP="00E34A41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论文：</w:t>
            </w:r>
          </w:p>
          <w:p w14:paraId="72F7B960" w14:textId="45BFBC84" w:rsidR="006306FA" w:rsidRPr="004B599C" w:rsidRDefault="00FC295A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E34A4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王晓阳,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戴国亮,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唐佳男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邓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会元.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桥梁支盘桩基础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内力监测分析[J].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工程勘察, 2017,45(01):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16-22.</w:t>
            </w:r>
          </w:p>
          <w:p w14:paraId="6A345B1A" w14:textId="40B91E8B" w:rsidR="00A66286" w:rsidRPr="004B599C" w:rsidRDefault="00A66286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E34A4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邓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会元,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戴国亮,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龚维明,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朱中发.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不同平衡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堆载条件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下桩基承载特性的原位试验研究[J].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岩土力学,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2015,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36(11):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3063-3070.</w:t>
            </w:r>
          </w:p>
          <w:p w14:paraId="6F9BEA03" w14:textId="2C576125" w:rsidR="00FC295A" w:rsidRPr="004B599C" w:rsidRDefault="00FC295A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毛斌,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单君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郑永卫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周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坚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深厚软基刚柔组合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桩设计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计算方法研究[J].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公路,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2012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 (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9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):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37-41.</w:t>
            </w:r>
          </w:p>
          <w:p w14:paraId="0350C8A8" w14:textId="1AB8FA5E" w:rsidR="00FC295A" w:rsidRPr="004B599C" w:rsidRDefault="00FC295A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proofErr w:type="gramStart"/>
            <w:r w:rsidR="008962B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竺</w:t>
            </w:r>
            <w:proofErr w:type="gramEnd"/>
            <w:r w:rsidR="008962B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明星, 龚维明, 徐国平, 何小元. 大面积</w:t>
            </w:r>
            <w:proofErr w:type="gramStart"/>
            <w:r w:rsidR="008962B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堆载作用</w:t>
            </w:r>
            <w:proofErr w:type="gramEnd"/>
            <w:r w:rsidR="008962B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下轴向受力隔离桩的承载机制分析[J]. 岩石力学与工程学报, 2014, </w:t>
            </w:r>
            <w:r w:rsidR="00D02E58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33</w:t>
            </w:r>
            <w:r w:rsidR="008962B1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(2):421-432.</w:t>
            </w:r>
          </w:p>
          <w:p w14:paraId="46D208D1" w14:textId="419B833D" w:rsidR="008F22B8" w:rsidRPr="004B599C" w:rsidRDefault="00FC295A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竺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明星,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龚维明,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何小元,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徐国平.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纵横向</w:t>
            </w:r>
            <w:proofErr w:type="gramStart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受荷基桩</w:t>
            </w:r>
            <w:proofErr w:type="gramEnd"/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变形内力的矩阵传递解[J].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岩土力学,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2014,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35(11):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3281-3288.</w:t>
            </w:r>
          </w:p>
          <w:p w14:paraId="7F4EABA9" w14:textId="2038CF74" w:rsidR="0063062E" w:rsidRPr="004B599C" w:rsidRDefault="0063062E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6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陈雪奖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周卫滨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邓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会元,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戴国亮,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龚维明.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大面积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堆载下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桥梁基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桩负摩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阻力试验研究[J].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公路工程,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2016,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41(06):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82-88.</w:t>
            </w:r>
          </w:p>
          <w:p w14:paraId="02A91F62" w14:textId="6D6B901D" w:rsidR="00A66286" w:rsidRPr="004B599C" w:rsidRDefault="00A66286" w:rsidP="0072477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黄挺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龚维明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戴国亮．不同土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表堆载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分布形式下</w:t>
            </w:r>
            <w:proofErr w:type="gramStart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桩基负摩阻力</w:t>
            </w:r>
            <w:proofErr w:type="gramEnd"/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特性模型试验[J]. 东南大学学报（自然科学版）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2015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24777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45(6): 1169-1174．</w:t>
            </w:r>
          </w:p>
          <w:p w14:paraId="5BCFAB73" w14:textId="28CF6D2C" w:rsidR="00A66286" w:rsidRPr="004B599C" w:rsidRDefault="00A66286" w:rsidP="00B9796C">
            <w:pPr>
              <w:autoSpaceDE w:val="0"/>
              <w:autoSpaceDN w:val="0"/>
              <w:adjustRightInd w:val="0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[</w:t>
            </w:r>
            <w:r w:rsidR="006219C0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8</w:t>
            </w:r>
            <w:r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]</w:t>
            </w:r>
            <w:r w:rsidR="00B9796C" w:rsidRPr="004B599C">
              <w:rPr>
                <w:rFonts w:ascii="仿宋_GB2312" w:eastAsia="仿宋_GB2312" w:hint="eastAsia"/>
              </w:rPr>
              <w:t xml:space="preserve"> </w:t>
            </w:r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Zhu </w:t>
            </w:r>
            <w:proofErr w:type="spell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Mingxing</w:t>
            </w:r>
            <w:proofErr w:type="spell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Zhang </w:t>
            </w:r>
            <w:proofErr w:type="spell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Yanbei</w:t>
            </w:r>
            <w:proofErr w:type="spell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Gong </w:t>
            </w:r>
            <w:proofErr w:type="spell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Weiming</w:t>
            </w:r>
            <w:proofErr w:type="spell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, Wang Lei, Dai </w:t>
            </w:r>
            <w:proofErr w:type="spell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Guoliang</w:t>
            </w:r>
            <w:proofErr w:type="spell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. Generalized Solutions for Axially and Laterally Loaded Piles in Multilayered Soil Deposits with Transfer Matrix </w:t>
            </w:r>
            <w:proofErr w:type="gram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Method[</w:t>
            </w:r>
            <w:proofErr w:type="gram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 xml:space="preserve">J]. International Journal of </w:t>
            </w:r>
            <w:proofErr w:type="spellStart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Geomechanics</w:t>
            </w:r>
            <w:proofErr w:type="spellEnd"/>
            <w:r w:rsidR="00B9796C" w:rsidRPr="004B599C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, 2017, 17(4): 04016104.</w:t>
            </w:r>
          </w:p>
        </w:tc>
      </w:tr>
      <w:tr w:rsidR="001165BD" w:rsidRPr="004B599C" w14:paraId="6D9595AA" w14:textId="77777777" w:rsidTr="004A2FA2">
        <w:trPr>
          <w:trHeight w:val="983"/>
          <w:jc w:val="center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14:paraId="687F42F0" w14:textId="11EDD6EB" w:rsidR="001165BD" w:rsidRPr="004B599C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14:paraId="4A40C900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王晓阳，排名1，教授级高级工程师，浙江省交通规划设计研究院有限公司；</w:t>
            </w:r>
          </w:p>
          <w:p w14:paraId="326BE50F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单君，排名2，高级工程师，浙江省交通规划设计研究院有限公司；</w:t>
            </w:r>
          </w:p>
          <w:p w14:paraId="703F450A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戴国亮，排名3，教授，东南大学；</w:t>
            </w:r>
          </w:p>
          <w:p w14:paraId="4648939B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马越峰，排名4，教授级高级工程师，浙江省交通规划设计研究院有限公司；</w:t>
            </w:r>
          </w:p>
          <w:p w14:paraId="69538EA0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胡永富，排名5，高级工程师，浙江省交通规划设计研究院有限公司</w:t>
            </w:r>
          </w:p>
          <w:p w14:paraId="459390DA" w14:textId="7777777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邓</w:t>
            </w:r>
            <w:proofErr w:type="gramEnd"/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会元，排名6，博士，东南大学；</w:t>
            </w:r>
          </w:p>
          <w:p w14:paraId="3ED7C810" w14:textId="4DE660D7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陈国兴，排名</w:t>
            </w:r>
            <w:r w:rsidR="009149B2"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，教授级高级工程师，浙江省交通规划设计研究院有限公司；</w:t>
            </w:r>
          </w:p>
          <w:p w14:paraId="341AFD9B" w14:textId="1105EB98" w:rsidR="005015F4" w:rsidRPr="004B599C" w:rsidRDefault="005015F4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蔡隽，排名</w:t>
            </w:r>
            <w:r w:rsidR="009149B2"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</w:t>
            </w: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，高级工程师，浙江省交通规划设计研究院有限公司</w:t>
            </w:r>
          </w:p>
          <w:p w14:paraId="311AD622" w14:textId="7ACB4242" w:rsidR="009149B2" w:rsidRPr="004B599C" w:rsidRDefault="009149B2" w:rsidP="005015F4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叶雨清，排名9，教授级高级工程师，浙江省交通规划设计研究院有限公司</w:t>
            </w:r>
          </w:p>
        </w:tc>
      </w:tr>
      <w:tr w:rsidR="001165BD" w:rsidRPr="004B599C" w14:paraId="615C565A" w14:textId="77777777" w:rsidTr="00205A90">
        <w:trPr>
          <w:trHeight w:val="1549"/>
          <w:jc w:val="center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14:paraId="163E95A9" w14:textId="77777777" w:rsidR="001830E5" w:rsidRPr="004B599C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</w:t>
            </w:r>
          </w:p>
          <w:p w14:paraId="1E9B8742" w14:textId="7A002A6A" w:rsidR="001165BD" w:rsidRPr="004B599C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单位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14:paraId="4FA0A30D" w14:textId="4E271FD7" w:rsidR="001165BD" w:rsidRPr="004B599C" w:rsidRDefault="001165BD" w:rsidP="00156898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9333CB"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浙江省交通规划设计研究院有限公司</w:t>
            </w:r>
            <w:r w:rsidR="00170BAD"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5339897D" w14:textId="15D41EE2" w:rsidR="001165BD" w:rsidRPr="004B599C" w:rsidRDefault="001165BD" w:rsidP="00190F1E">
            <w:pPr>
              <w:spacing w:line="440" w:lineRule="exact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 w:rsidR="009333CB"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东南大学</w:t>
            </w:r>
          </w:p>
        </w:tc>
      </w:tr>
      <w:tr w:rsidR="001165BD" w:rsidRPr="004B599C" w14:paraId="1ABCB44F" w14:textId="77777777" w:rsidTr="004A2FA2">
        <w:trPr>
          <w:trHeight w:val="692"/>
          <w:jc w:val="center"/>
        </w:trPr>
        <w:tc>
          <w:tcPr>
            <w:tcW w:w="1872" w:type="dxa"/>
            <w:vAlign w:val="center"/>
          </w:tcPr>
          <w:p w14:paraId="2E69A1A6" w14:textId="77777777" w:rsidR="001165BD" w:rsidRPr="004B599C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4B599C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054" w:type="dxa"/>
            <w:vAlign w:val="center"/>
          </w:tcPr>
          <w:p w14:paraId="256B26D0" w14:textId="287E4A3E" w:rsidR="001165BD" w:rsidRPr="004B599C" w:rsidRDefault="001B14EE" w:rsidP="00156898">
            <w:pPr>
              <w:contextualSpacing/>
              <w:jc w:val="center"/>
              <w:rPr>
                <w:rFonts w:ascii="仿宋_GB2312" w:eastAsia="仿宋_GB2312" w:hAnsi="仿宋" w:cs="仿宋" w:hint="eastAsia"/>
                <w:color w:val="000000" w:themeColor="text1"/>
              </w:rPr>
            </w:pPr>
            <w:r w:rsidRPr="004B599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浙江省交通运输厅</w:t>
            </w:r>
          </w:p>
        </w:tc>
      </w:tr>
      <w:tr w:rsidR="001165BD" w:rsidRPr="004B599C" w14:paraId="1A34D077" w14:textId="77777777" w:rsidTr="00205A90">
        <w:trPr>
          <w:trHeight w:val="4685"/>
          <w:jc w:val="center"/>
        </w:trPr>
        <w:tc>
          <w:tcPr>
            <w:tcW w:w="1872" w:type="dxa"/>
            <w:vAlign w:val="center"/>
          </w:tcPr>
          <w:p w14:paraId="545DFDC2" w14:textId="77777777" w:rsidR="001165BD" w:rsidRPr="004B599C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4B599C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7054" w:type="dxa"/>
            <w:vAlign w:val="center"/>
          </w:tcPr>
          <w:p w14:paraId="3DBFE394" w14:textId="152A5310" w:rsidR="00D85C93" w:rsidRPr="004B599C" w:rsidRDefault="00A37D2C" w:rsidP="00205A90">
            <w:pPr>
              <w:ind w:firstLineChars="200" w:firstLine="480"/>
              <w:contextualSpacing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B599C">
              <w:rPr>
                <w:rFonts w:ascii="仿宋_GB2312" w:eastAsia="仿宋_GB2312" w:hAnsi="仿宋" w:hint="eastAsia"/>
                <w:sz w:val="24"/>
              </w:rPr>
              <w:t>针对吹填围垦软土地基中开挖</w:t>
            </w:r>
            <w:proofErr w:type="gramStart"/>
            <w:r w:rsidRPr="004B599C">
              <w:rPr>
                <w:rFonts w:ascii="仿宋_GB2312" w:eastAsia="仿宋_GB2312" w:hAnsi="仿宋" w:hint="eastAsia"/>
                <w:sz w:val="24"/>
              </w:rPr>
              <w:t>或堆载引起</w:t>
            </w:r>
            <w:proofErr w:type="gramEnd"/>
            <w:r w:rsidRPr="004B599C">
              <w:rPr>
                <w:rFonts w:ascii="仿宋_GB2312" w:eastAsia="仿宋_GB2312" w:hAnsi="仿宋" w:hint="eastAsia"/>
                <w:sz w:val="24"/>
              </w:rPr>
              <w:t>的土体位移作用对邻近被动桩及变形影响控制的工程建设难题</w:t>
            </w:r>
            <w:r w:rsidR="00205A90" w:rsidRPr="004B599C">
              <w:rPr>
                <w:rFonts w:ascii="仿宋_GB2312" w:eastAsia="仿宋_GB2312" w:hAnsi="仿宋" w:hint="eastAsia"/>
                <w:sz w:val="24"/>
              </w:rPr>
              <w:t>,</w:t>
            </w:r>
            <w:r w:rsidRPr="004B599C">
              <w:rPr>
                <w:rFonts w:ascii="仿宋_GB2312" w:eastAsia="仿宋_GB2312" w:hAnsi="仿宋" w:hint="eastAsia"/>
                <w:sz w:val="24"/>
              </w:rPr>
              <w:t>本项目开展了软土区吹填（开挖）作用对桥梁桩基的影响机理和桥梁桩基安全设计和控制的系统研究，并提出了吹填围垦区被动桩被动荷载设计计算方法以及</w:t>
            </w:r>
            <w:proofErr w:type="gramStart"/>
            <w:r w:rsidRPr="004B599C">
              <w:rPr>
                <w:rFonts w:ascii="仿宋_GB2312" w:eastAsia="仿宋_GB2312" w:hAnsi="仿宋" w:hint="eastAsia"/>
                <w:sz w:val="24"/>
              </w:rPr>
              <w:t>桩基负摩阻力</w:t>
            </w:r>
            <w:proofErr w:type="gramEnd"/>
            <w:r w:rsidRPr="004B599C">
              <w:rPr>
                <w:rFonts w:ascii="仿宋_GB2312" w:eastAsia="仿宋_GB2312" w:hAnsi="仿宋" w:hint="eastAsia"/>
                <w:sz w:val="24"/>
              </w:rPr>
              <w:t>计算方法，建立了堆载（开挖）下临近桩基变形以及安全距离的预测方法，系统提出了堆载（开挖）下临近桩基安全控制指标以及设计和防护措施，促进了围垦区桥梁工程建设以及围垦工程的开发利用。</w:t>
            </w:r>
          </w:p>
          <w:p w14:paraId="7260EA5F" w14:textId="77777777" w:rsidR="00205A90" w:rsidRPr="004B599C" w:rsidRDefault="00205A90" w:rsidP="00205A90">
            <w:pPr>
              <w:ind w:firstLineChars="200" w:firstLine="480"/>
              <w:contextualSpacing/>
              <w:jc w:val="left"/>
              <w:rPr>
                <w:rFonts w:ascii="仿宋_GB2312" w:eastAsia="仿宋_GB2312" w:hAnsi="仿宋" w:hint="eastAsia"/>
                <w:bCs/>
                <w:sz w:val="24"/>
              </w:rPr>
            </w:pPr>
            <w:r w:rsidRPr="004B599C">
              <w:rPr>
                <w:rFonts w:ascii="仿宋_GB2312" w:eastAsia="仿宋_GB2312" w:hAnsi="仿宋" w:hint="eastAsia"/>
                <w:sz w:val="24"/>
              </w:rPr>
              <w:t>该</w:t>
            </w:r>
            <w:r w:rsidR="00A37D2C" w:rsidRPr="004B599C">
              <w:rPr>
                <w:rFonts w:ascii="仿宋_GB2312" w:eastAsia="仿宋_GB2312" w:hAnsi="仿宋" w:hint="eastAsia"/>
                <w:sz w:val="24"/>
              </w:rPr>
              <w:t>成果已在宁波、台州、杭州湾新区等围垦区桥梁工程中得到应用，效果良好。典型应用工程包括杭甬复线高架桥工程、台州湾大桥及接线工程、杭州湾新区桥梁工程等工程，经济社会效益显著。</w:t>
            </w:r>
          </w:p>
          <w:p w14:paraId="34DCEB1F" w14:textId="3E0D86F9" w:rsidR="00A75B05" w:rsidRPr="004B599C" w:rsidRDefault="00D85C93" w:rsidP="00205A90">
            <w:pPr>
              <w:ind w:firstLineChars="200" w:firstLine="480"/>
              <w:contextualSpacing/>
              <w:jc w:val="left"/>
              <w:rPr>
                <w:rStyle w:val="title1"/>
                <w:rFonts w:ascii="仿宋_GB2312" w:eastAsia="仿宋_GB2312" w:hAnsi="仿宋" w:cs="宋体" w:hint="eastAsia"/>
                <w:b w:val="0"/>
                <w:bCs w:val="0"/>
                <w:color w:val="auto"/>
                <w:kern w:val="0"/>
                <w:szCs w:val="20"/>
                <w:lang w:val="zh-CN"/>
              </w:rPr>
            </w:pPr>
            <w:r w:rsidRPr="004B599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提名</w:t>
            </w:r>
            <w:r w:rsidR="00205A90" w:rsidRPr="004B599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该成果为</w:t>
            </w:r>
            <w:r w:rsidR="00A75B05" w:rsidRPr="004B599C">
              <w:rPr>
                <w:rFonts w:ascii="仿宋_GB2312" w:eastAsia="仿宋_GB2312" w:hAnsi="仿宋" w:cs="宋体" w:hint="eastAsia"/>
                <w:kern w:val="0"/>
                <w:sz w:val="24"/>
                <w:lang w:val="zh-CN"/>
              </w:rPr>
              <w:t>浙江省</w:t>
            </w:r>
            <w:r w:rsidR="00205A90" w:rsidRPr="004B599C">
              <w:rPr>
                <w:rFonts w:ascii="仿宋_GB2312" w:eastAsia="仿宋_GB2312" w:hAnsi="仿宋" w:cs="宋体" w:hint="eastAsia"/>
                <w:kern w:val="0"/>
                <w:sz w:val="24"/>
                <w:lang w:val="zh-CN"/>
              </w:rPr>
              <w:t>科学技术</w:t>
            </w:r>
            <w:r w:rsidR="00A75B05" w:rsidRPr="004B599C">
              <w:rPr>
                <w:rFonts w:ascii="仿宋_GB2312" w:eastAsia="仿宋_GB2312" w:hAnsi="仿宋" w:cs="宋体" w:hint="eastAsia"/>
                <w:kern w:val="0"/>
                <w:sz w:val="24"/>
                <w:lang w:val="zh-CN"/>
              </w:rPr>
              <w:t>进步奖</w:t>
            </w:r>
            <w:r w:rsidR="005018B6" w:rsidRPr="004B599C">
              <w:rPr>
                <w:rFonts w:ascii="仿宋_GB2312" w:eastAsia="仿宋_GB2312" w:hAnsi="仿宋" w:cs="宋体" w:hint="eastAsia"/>
                <w:kern w:val="0"/>
                <w:sz w:val="24"/>
                <w:lang w:val="zh-CN"/>
              </w:rPr>
              <w:t>二</w:t>
            </w:r>
            <w:r w:rsidR="00A75B05" w:rsidRPr="004B599C">
              <w:rPr>
                <w:rFonts w:ascii="仿宋_GB2312" w:eastAsia="仿宋_GB2312" w:hAnsi="仿宋" w:cs="宋体" w:hint="eastAsia"/>
                <w:kern w:val="0"/>
                <w:sz w:val="24"/>
                <w:lang w:val="zh-CN"/>
              </w:rPr>
              <w:t>等奖。</w:t>
            </w:r>
          </w:p>
        </w:tc>
      </w:tr>
    </w:tbl>
    <w:p w14:paraId="0969699B" w14:textId="77777777" w:rsidR="00526F20" w:rsidRPr="00A75B05" w:rsidRDefault="00526F20"/>
    <w:sectPr w:rsidR="00526F20" w:rsidRPr="00A7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33BB" w14:textId="77777777" w:rsidR="00DE3805" w:rsidRDefault="00DE3805" w:rsidP="00A46380">
      <w:r>
        <w:separator/>
      </w:r>
    </w:p>
  </w:endnote>
  <w:endnote w:type="continuationSeparator" w:id="0">
    <w:p w14:paraId="026E4DF7" w14:textId="77777777" w:rsidR="00DE3805" w:rsidRDefault="00DE3805" w:rsidP="00A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1BE6" w14:textId="77777777" w:rsidR="00DE3805" w:rsidRDefault="00DE3805" w:rsidP="00A46380">
      <w:r>
        <w:separator/>
      </w:r>
    </w:p>
  </w:footnote>
  <w:footnote w:type="continuationSeparator" w:id="0">
    <w:p w14:paraId="002E9FC0" w14:textId="77777777" w:rsidR="00DE3805" w:rsidRDefault="00DE3805" w:rsidP="00A4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6A6"/>
    <w:multiLevelType w:val="hybridMultilevel"/>
    <w:tmpl w:val="996672FE"/>
    <w:lvl w:ilvl="0" w:tplc="C7545C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8"/>
    <w:rsid w:val="00045988"/>
    <w:rsid w:val="000A443E"/>
    <w:rsid w:val="000B0F22"/>
    <w:rsid w:val="000C10F0"/>
    <w:rsid w:val="000C357B"/>
    <w:rsid w:val="000D2EBD"/>
    <w:rsid w:val="000E16EC"/>
    <w:rsid w:val="000F545F"/>
    <w:rsid w:val="00112539"/>
    <w:rsid w:val="00114E1A"/>
    <w:rsid w:val="001165BD"/>
    <w:rsid w:val="00131FF6"/>
    <w:rsid w:val="0015122D"/>
    <w:rsid w:val="001534D2"/>
    <w:rsid w:val="00170BAD"/>
    <w:rsid w:val="001830E5"/>
    <w:rsid w:val="00190F1E"/>
    <w:rsid w:val="00197C81"/>
    <w:rsid w:val="001A7CDC"/>
    <w:rsid w:val="001B14EE"/>
    <w:rsid w:val="001B538E"/>
    <w:rsid w:val="00205A90"/>
    <w:rsid w:val="00236295"/>
    <w:rsid w:val="00241E3B"/>
    <w:rsid w:val="00257DAD"/>
    <w:rsid w:val="00260213"/>
    <w:rsid w:val="00271CDA"/>
    <w:rsid w:val="00274BDC"/>
    <w:rsid w:val="00276090"/>
    <w:rsid w:val="00281D7F"/>
    <w:rsid w:val="00296D32"/>
    <w:rsid w:val="002D2214"/>
    <w:rsid w:val="002D6887"/>
    <w:rsid w:val="00322888"/>
    <w:rsid w:val="0034606A"/>
    <w:rsid w:val="00355EE1"/>
    <w:rsid w:val="00386B6A"/>
    <w:rsid w:val="00387C15"/>
    <w:rsid w:val="00410BB4"/>
    <w:rsid w:val="00430428"/>
    <w:rsid w:val="00441DFB"/>
    <w:rsid w:val="00474DBF"/>
    <w:rsid w:val="004A2FA2"/>
    <w:rsid w:val="004B599C"/>
    <w:rsid w:val="005015F4"/>
    <w:rsid w:val="005018B6"/>
    <w:rsid w:val="00526F20"/>
    <w:rsid w:val="00541F83"/>
    <w:rsid w:val="00547BB8"/>
    <w:rsid w:val="005519F5"/>
    <w:rsid w:val="005A3503"/>
    <w:rsid w:val="005E5F8E"/>
    <w:rsid w:val="00612367"/>
    <w:rsid w:val="006219C0"/>
    <w:rsid w:val="0063062E"/>
    <w:rsid w:val="006306FA"/>
    <w:rsid w:val="0065737F"/>
    <w:rsid w:val="00672BE3"/>
    <w:rsid w:val="006858F6"/>
    <w:rsid w:val="006D2248"/>
    <w:rsid w:val="00724777"/>
    <w:rsid w:val="00753A2C"/>
    <w:rsid w:val="007D0033"/>
    <w:rsid w:val="007E5B50"/>
    <w:rsid w:val="008108AB"/>
    <w:rsid w:val="008962B1"/>
    <w:rsid w:val="008B1162"/>
    <w:rsid w:val="008B14F4"/>
    <w:rsid w:val="008C0583"/>
    <w:rsid w:val="008C416D"/>
    <w:rsid w:val="008F22B8"/>
    <w:rsid w:val="009149B2"/>
    <w:rsid w:val="00920ED3"/>
    <w:rsid w:val="00922FE6"/>
    <w:rsid w:val="009333CB"/>
    <w:rsid w:val="00947C8C"/>
    <w:rsid w:val="00964296"/>
    <w:rsid w:val="009A4CF6"/>
    <w:rsid w:val="009B0237"/>
    <w:rsid w:val="00A0383D"/>
    <w:rsid w:val="00A16B67"/>
    <w:rsid w:val="00A37D2C"/>
    <w:rsid w:val="00A46380"/>
    <w:rsid w:val="00A63620"/>
    <w:rsid w:val="00A66286"/>
    <w:rsid w:val="00A75476"/>
    <w:rsid w:val="00A75B05"/>
    <w:rsid w:val="00A960C0"/>
    <w:rsid w:val="00AF4961"/>
    <w:rsid w:val="00AF647B"/>
    <w:rsid w:val="00B43AD9"/>
    <w:rsid w:val="00B53950"/>
    <w:rsid w:val="00B83FC8"/>
    <w:rsid w:val="00B9796C"/>
    <w:rsid w:val="00BA7DDB"/>
    <w:rsid w:val="00BB0A08"/>
    <w:rsid w:val="00BB225C"/>
    <w:rsid w:val="00BB76C5"/>
    <w:rsid w:val="00BF7A25"/>
    <w:rsid w:val="00C240BF"/>
    <w:rsid w:val="00C454AB"/>
    <w:rsid w:val="00CE6902"/>
    <w:rsid w:val="00D02E58"/>
    <w:rsid w:val="00D242CA"/>
    <w:rsid w:val="00D75154"/>
    <w:rsid w:val="00D85C93"/>
    <w:rsid w:val="00D876D2"/>
    <w:rsid w:val="00DA59FC"/>
    <w:rsid w:val="00DB12BA"/>
    <w:rsid w:val="00DE3805"/>
    <w:rsid w:val="00E34A41"/>
    <w:rsid w:val="00E36059"/>
    <w:rsid w:val="00E415B3"/>
    <w:rsid w:val="00E43706"/>
    <w:rsid w:val="00E55829"/>
    <w:rsid w:val="00E609F7"/>
    <w:rsid w:val="00EC2DAE"/>
    <w:rsid w:val="00F15F47"/>
    <w:rsid w:val="00F42B43"/>
    <w:rsid w:val="00F573BD"/>
    <w:rsid w:val="00FC295A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E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63062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4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38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37D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5B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5B0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062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63062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4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38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37D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5B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5B0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062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7F89-BBE1-4C2D-9205-69F5C34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黄颖</cp:lastModifiedBy>
  <cp:revision>20</cp:revision>
  <dcterms:created xsi:type="dcterms:W3CDTF">2020-09-24T07:42:00Z</dcterms:created>
  <dcterms:modified xsi:type="dcterms:W3CDTF">2020-09-25T00:27:00Z</dcterms:modified>
</cp:coreProperties>
</file>