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ind w:left="-282" w:leftChars="-90" w:right="-568" w:rightChars="-181"/>
        <w:jc w:val="center"/>
        <w:rPr>
          <w:rFonts w:ascii="方正小标宋简体" w:hAnsi="黑体" w:eastAsia="方正小标宋简体"/>
          <w:color w:val="auto"/>
          <w:sz w:val="44"/>
          <w:szCs w:val="44"/>
          <w:highlight w:val="none"/>
        </w:rPr>
      </w:pPr>
      <w:bookmarkStart w:id="11" w:name="_GoBack"/>
      <w:bookmarkEnd w:id="11"/>
      <w:r>
        <w:rPr>
          <w:rFonts w:hint="eastAsia" w:ascii="方正小标宋简体" w:hAnsi="黑体" w:eastAsia="方正小标宋简体"/>
          <w:color w:val="auto"/>
          <w:sz w:val="44"/>
          <w:szCs w:val="44"/>
          <w:highlight w:val="none"/>
        </w:rPr>
        <w:t>浙江省公路工程施工招标文件示范文本（20</w:t>
      </w:r>
      <w:r>
        <w:rPr>
          <w:rFonts w:ascii="方正小标宋简体" w:hAnsi="黑体" w:eastAsia="方正小标宋简体"/>
          <w:color w:val="auto"/>
          <w:sz w:val="44"/>
          <w:szCs w:val="44"/>
          <w:highlight w:val="none"/>
        </w:rPr>
        <w:t>22</w:t>
      </w:r>
      <w:r>
        <w:rPr>
          <w:rFonts w:hint="eastAsia" w:ascii="方正小标宋简体" w:hAnsi="黑体" w:eastAsia="方正小标宋简体"/>
          <w:color w:val="auto"/>
          <w:sz w:val="44"/>
          <w:szCs w:val="44"/>
          <w:highlight w:val="none"/>
        </w:rPr>
        <w:t>年版）修订情况汇总表</w:t>
      </w:r>
    </w:p>
    <w:p>
      <w:pPr>
        <w:snapToGrid w:val="0"/>
        <w:spacing w:line="500" w:lineRule="exact"/>
        <w:jc w:val="center"/>
        <w:rPr>
          <w:rFonts w:ascii="方正小标宋简体" w:hAnsi="黑体" w:eastAsia="方正小标宋简体"/>
          <w:color w:val="auto"/>
          <w:highlight w:val="none"/>
        </w:rPr>
      </w:pPr>
    </w:p>
    <w:tbl>
      <w:tblPr>
        <w:tblStyle w:val="12"/>
        <w:tblW w:w="139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4"/>
        <w:gridCol w:w="1326"/>
        <w:gridCol w:w="4912"/>
        <w:gridCol w:w="4907"/>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644" w:type="dxa"/>
            <w:shd w:val="clear" w:color="auto" w:fill="auto"/>
            <w:vAlign w:val="center"/>
          </w:tcPr>
          <w:p>
            <w:pPr>
              <w:jc w:val="center"/>
              <w:rPr>
                <w:rFonts w:ascii="黑体" w:hAnsi="黑体" w:eastAsia="黑体"/>
                <w:color w:val="auto"/>
                <w:sz w:val="22"/>
                <w:szCs w:val="28"/>
                <w:highlight w:val="none"/>
              </w:rPr>
            </w:pPr>
            <w:r>
              <w:rPr>
                <w:rFonts w:hint="eastAsia" w:ascii="黑体" w:hAnsi="黑体" w:eastAsia="黑体"/>
                <w:color w:val="auto"/>
                <w:sz w:val="22"/>
                <w:szCs w:val="28"/>
                <w:highlight w:val="none"/>
              </w:rPr>
              <w:t>序号</w:t>
            </w:r>
          </w:p>
        </w:tc>
        <w:tc>
          <w:tcPr>
            <w:tcW w:w="1326" w:type="dxa"/>
            <w:shd w:val="clear" w:color="auto" w:fill="auto"/>
            <w:vAlign w:val="center"/>
          </w:tcPr>
          <w:p>
            <w:pPr>
              <w:jc w:val="center"/>
              <w:rPr>
                <w:rFonts w:ascii="黑体" w:hAnsi="黑体" w:eastAsia="黑体"/>
                <w:color w:val="auto"/>
                <w:sz w:val="22"/>
                <w:szCs w:val="28"/>
                <w:highlight w:val="none"/>
              </w:rPr>
            </w:pPr>
            <w:r>
              <w:rPr>
                <w:rFonts w:hint="eastAsia" w:ascii="黑体" w:hAnsi="黑体" w:eastAsia="黑体"/>
                <w:color w:val="auto"/>
                <w:sz w:val="22"/>
                <w:szCs w:val="28"/>
                <w:highlight w:val="none"/>
              </w:rPr>
              <w:t>条款号</w:t>
            </w:r>
          </w:p>
        </w:tc>
        <w:tc>
          <w:tcPr>
            <w:tcW w:w="4912" w:type="dxa"/>
            <w:shd w:val="clear" w:color="auto" w:fill="auto"/>
            <w:vAlign w:val="center"/>
          </w:tcPr>
          <w:p>
            <w:pPr>
              <w:jc w:val="center"/>
              <w:rPr>
                <w:rFonts w:ascii="黑体" w:hAnsi="黑体" w:eastAsia="黑体"/>
                <w:color w:val="auto"/>
                <w:sz w:val="22"/>
                <w:szCs w:val="28"/>
                <w:highlight w:val="none"/>
              </w:rPr>
            </w:pPr>
            <w:r>
              <w:rPr>
                <w:rFonts w:hint="eastAsia" w:ascii="黑体" w:hAnsi="黑体" w:eastAsia="黑体"/>
                <w:color w:val="auto"/>
                <w:sz w:val="22"/>
                <w:szCs w:val="28"/>
                <w:highlight w:val="none"/>
              </w:rPr>
              <w:t>修订前</w:t>
            </w:r>
          </w:p>
        </w:tc>
        <w:tc>
          <w:tcPr>
            <w:tcW w:w="4907" w:type="dxa"/>
            <w:shd w:val="clear" w:color="auto" w:fill="auto"/>
            <w:vAlign w:val="center"/>
          </w:tcPr>
          <w:p>
            <w:pPr>
              <w:jc w:val="center"/>
              <w:rPr>
                <w:rFonts w:ascii="黑体" w:hAnsi="黑体" w:eastAsia="黑体"/>
                <w:color w:val="auto"/>
                <w:sz w:val="22"/>
                <w:szCs w:val="28"/>
                <w:highlight w:val="none"/>
              </w:rPr>
            </w:pPr>
            <w:r>
              <w:rPr>
                <w:rFonts w:hint="eastAsia" w:ascii="黑体" w:hAnsi="黑体" w:eastAsia="黑体"/>
                <w:color w:val="auto"/>
                <w:sz w:val="22"/>
                <w:szCs w:val="28"/>
                <w:highlight w:val="none"/>
              </w:rPr>
              <w:t>修订后</w:t>
            </w:r>
          </w:p>
        </w:tc>
        <w:tc>
          <w:tcPr>
            <w:tcW w:w="2130" w:type="dxa"/>
            <w:shd w:val="clear" w:color="auto" w:fill="auto"/>
            <w:vAlign w:val="center"/>
          </w:tcPr>
          <w:p>
            <w:pPr>
              <w:jc w:val="center"/>
              <w:rPr>
                <w:rFonts w:ascii="黑体" w:hAnsi="黑体" w:eastAsia="黑体"/>
                <w:color w:val="auto"/>
                <w:sz w:val="22"/>
                <w:szCs w:val="28"/>
                <w:highlight w:val="none"/>
              </w:rPr>
            </w:pPr>
            <w:r>
              <w:rPr>
                <w:rFonts w:hint="eastAsia" w:ascii="黑体" w:hAnsi="黑体" w:eastAsia="黑体"/>
                <w:color w:val="auto"/>
                <w:sz w:val="22"/>
                <w:szCs w:val="28"/>
                <w:highlight w:val="none"/>
              </w:rPr>
              <w:t>修改说明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644" w:type="dxa"/>
            <w:shd w:val="clear" w:color="auto" w:fill="auto"/>
            <w:vAlign w:val="center"/>
          </w:tcPr>
          <w:p>
            <w:pPr>
              <w:jc w:val="center"/>
              <w:rPr>
                <w:rFonts w:ascii="仿宋_GB2312" w:hAnsi="黑体"/>
                <w:color w:val="auto"/>
                <w:sz w:val="22"/>
                <w:szCs w:val="22"/>
                <w:highlight w:val="none"/>
              </w:rPr>
            </w:pPr>
            <w:r>
              <w:rPr>
                <w:rFonts w:hint="eastAsia" w:ascii="仿宋_GB2312" w:hAnsi="黑体"/>
                <w:color w:val="auto"/>
                <w:sz w:val="22"/>
                <w:szCs w:val="22"/>
                <w:highlight w:val="none"/>
              </w:rPr>
              <w:t>1★</w:t>
            </w:r>
          </w:p>
        </w:tc>
        <w:tc>
          <w:tcPr>
            <w:tcW w:w="1326" w:type="dxa"/>
            <w:shd w:val="clear" w:color="auto" w:fill="auto"/>
            <w:vAlign w:val="center"/>
          </w:tcPr>
          <w:p>
            <w:pPr>
              <w:pStyle w:val="18"/>
              <w:spacing w:line="300" w:lineRule="exact"/>
              <w:jc w:val="both"/>
              <w:rPr>
                <w:rFonts w:ascii="仿宋_GB2312" w:hAnsi="黑体" w:eastAsia="仿宋_GB2312"/>
                <w:color w:val="auto"/>
                <w:kern w:val="2"/>
                <w:sz w:val="22"/>
                <w:szCs w:val="22"/>
                <w:highlight w:val="none"/>
              </w:rPr>
            </w:pPr>
            <w:r>
              <w:rPr>
                <w:rFonts w:hint="eastAsia" w:ascii="仿宋_GB2312" w:hAnsi="黑体" w:eastAsia="仿宋_GB2312"/>
                <w:color w:val="auto"/>
                <w:kern w:val="2"/>
                <w:sz w:val="22"/>
                <w:szCs w:val="22"/>
                <w:highlight w:val="none"/>
              </w:rPr>
              <w:t>使用指南一、总体要求/（九）投标人和从业人员信用信息应用</w:t>
            </w:r>
          </w:p>
        </w:tc>
        <w:tc>
          <w:tcPr>
            <w:tcW w:w="4912" w:type="dxa"/>
            <w:shd w:val="clear" w:color="auto" w:fill="auto"/>
            <w:vAlign w:val="center"/>
          </w:tcPr>
          <w:p>
            <w:pPr>
              <w:pStyle w:val="18"/>
              <w:ind w:firstLine="428" w:firstLineChars="200"/>
              <w:jc w:val="both"/>
              <w:rPr>
                <w:rFonts w:ascii="仿宋_GB2312" w:hAnsi="黑体" w:eastAsia="仿宋_GB2312"/>
                <w:color w:val="auto"/>
                <w:kern w:val="2"/>
                <w:sz w:val="22"/>
                <w:szCs w:val="22"/>
                <w:highlight w:val="none"/>
              </w:rPr>
            </w:pPr>
            <w:r>
              <w:rPr>
                <w:rFonts w:hint="eastAsia" w:ascii="仿宋_GB2312" w:hAnsi="黑体" w:eastAsia="仿宋_GB2312"/>
                <w:color w:val="auto"/>
                <w:kern w:val="2"/>
                <w:sz w:val="22"/>
                <w:szCs w:val="22"/>
                <w:highlight w:val="none"/>
              </w:rPr>
              <w:t>3.投标加（减）分。</w:t>
            </w:r>
          </w:p>
          <w:p>
            <w:pPr>
              <w:pStyle w:val="18"/>
              <w:ind w:firstLine="428" w:firstLineChars="200"/>
              <w:jc w:val="both"/>
              <w:rPr>
                <w:rFonts w:ascii="仿宋_GB2312" w:hAnsi="黑体" w:eastAsia="仿宋_GB2312"/>
                <w:color w:val="auto"/>
                <w:kern w:val="2"/>
                <w:sz w:val="22"/>
                <w:szCs w:val="22"/>
                <w:highlight w:val="none"/>
              </w:rPr>
            </w:pPr>
            <w:r>
              <w:rPr>
                <w:rFonts w:hint="eastAsia" w:ascii="仿宋_GB2312" w:hAnsi="黑体" w:eastAsia="仿宋_GB2312"/>
                <w:color w:val="auto"/>
                <w:kern w:val="2"/>
                <w:sz w:val="22"/>
                <w:szCs w:val="22"/>
                <w:highlight w:val="none"/>
              </w:rPr>
              <w:t>采用技术通过制的综合评估法（合理低价法）、技术打分制的综合评估法（综合评分法）时，信誉得分设置如下：</w:t>
            </w:r>
          </w:p>
          <w:p>
            <w:pPr>
              <w:pStyle w:val="18"/>
              <w:ind w:firstLine="428" w:firstLineChars="200"/>
              <w:jc w:val="both"/>
              <w:rPr>
                <w:rFonts w:ascii="仿宋_GB2312" w:hAnsi="黑体" w:eastAsia="仿宋_GB2312"/>
                <w:color w:val="auto"/>
                <w:kern w:val="2"/>
                <w:sz w:val="22"/>
                <w:szCs w:val="22"/>
                <w:highlight w:val="none"/>
              </w:rPr>
            </w:pPr>
            <w:r>
              <w:rPr>
                <w:rFonts w:hint="eastAsia" w:ascii="仿宋_GB2312" w:hAnsi="黑体" w:eastAsia="仿宋_GB2312"/>
                <w:color w:val="auto"/>
                <w:kern w:val="2"/>
                <w:sz w:val="22"/>
                <w:szCs w:val="22"/>
                <w:highlight w:val="none"/>
              </w:rPr>
              <w:t>（1）根据浙江省交通运输厅公布的信用评价结果，AA、A级投标人在投标中选择使用信用等级得分且有效的（《信用评价结果使用承诺书》中载明有效期，开标时《信用评价结果使用承诺书》应有效。每期公布信用评价结果注明使用有效期，在使用有效期内允许使用二次）信用等级得分为0.5分；（无效或未使用的得0分）；B级得分为0分；C级得分为-0.5分；D级得分为-5分。当年未列入浙江省交通运输厅公路施工企业信用等级名单的投标人，其信用等级得分按0分计算。</w:t>
            </w:r>
          </w:p>
          <w:p>
            <w:pPr>
              <w:pStyle w:val="18"/>
              <w:ind w:firstLine="428" w:firstLineChars="200"/>
              <w:jc w:val="both"/>
              <w:rPr>
                <w:rFonts w:ascii="仿宋_GB2312" w:hAnsi="黑体" w:eastAsia="仿宋_GB2312"/>
                <w:color w:val="auto"/>
                <w:kern w:val="2"/>
                <w:sz w:val="22"/>
                <w:szCs w:val="22"/>
                <w:highlight w:val="none"/>
              </w:rPr>
            </w:pPr>
            <w:r>
              <w:rPr>
                <w:rFonts w:hint="eastAsia" w:ascii="仿宋_GB2312" w:hAnsi="黑体" w:eastAsia="仿宋_GB2312"/>
                <w:color w:val="auto"/>
                <w:kern w:val="2"/>
                <w:sz w:val="22"/>
                <w:szCs w:val="22"/>
                <w:highlight w:val="none"/>
              </w:rPr>
              <w:t>（2）根据浙江省交通运输厅公布的信用评价结果，拟任项目经理为AA或A级的得0.3分，为D级的得-2分，其余等级或未参加的得0分；拟任项目技术负责人为AA或A级的得0.1分，为D级的得-1分，其余等级或未参加的得0分；拟任安全负责人为AA或A级的得0.1分，为D级的得-1分，其余等级或未参加的得0分。</w:t>
            </w:r>
          </w:p>
        </w:tc>
        <w:tc>
          <w:tcPr>
            <w:tcW w:w="4907" w:type="dxa"/>
            <w:shd w:val="clear" w:color="auto" w:fill="auto"/>
            <w:vAlign w:val="center"/>
          </w:tcPr>
          <w:p>
            <w:pPr>
              <w:pStyle w:val="18"/>
              <w:ind w:firstLine="428" w:firstLineChars="200"/>
              <w:rPr>
                <w:rFonts w:ascii="仿宋_GB2312" w:hAnsi="黑体" w:eastAsia="仿宋_GB2312"/>
                <w:color w:val="auto"/>
                <w:kern w:val="2"/>
                <w:sz w:val="22"/>
                <w:szCs w:val="22"/>
                <w:highlight w:val="none"/>
              </w:rPr>
            </w:pPr>
            <w:r>
              <w:rPr>
                <w:rFonts w:hint="eastAsia" w:ascii="仿宋_GB2312" w:hAnsi="黑体" w:eastAsia="仿宋_GB2312"/>
                <w:color w:val="auto"/>
                <w:kern w:val="2"/>
                <w:sz w:val="22"/>
                <w:szCs w:val="22"/>
                <w:highlight w:val="none"/>
              </w:rPr>
              <w:t>3.投标加（减）分。</w:t>
            </w:r>
          </w:p>
          <w:p>
            <w:pPr>
              <w:pStyle w:val="18"/>
              <w:ind w:firstLine="428" w:firstLineChars="200"/>
              <w:rPr>
                <w:rFonts w:ascii="仿宋_GB2312" w:hAnsi="黑体" w:eastAsia="仿宋_GB2312"/>
                <w:color w:val="auto"/>
                <w:kern w:val="2"/>
                <w:sz w:val="22"/>
                <w:szCs w:val="22"/>
                <w:highlight w:val="none"/>
              </w:rPr>
            </w:pPr>
            <w:r>
              <w:rPr>
                <w:rFonts w:hint="eastAsia" w:ascii="仿宋_GB2312" w:hAnsi="黑体" w:eastAsia="仿宋_GB2312"/>
                <w:color w:val="auto"/>
                <w:kern w:val="2"/>
                <w:sz w:val="22"/>
                <w:szCs w:val="22"/>
                <w:highlight w:val="none"/>
              </w:rPr>
              <w:t>采用</w:t>
            </w:r>
            <w:r>
              <w:rPr>
                <w:rFonts w:hint="eastAsia" w:ascii="仿宋_GB2312" w:hAnsi="黑体" w:eastAsia="仿宋_GB2312"/>
                <w:b/>
                <w:bCs/>
                <w:color w:val="auto"/>
                <w:kern w:val="2"/>
                <w:sz w:val="22"/>
                <w:szCs w:val="22"/>
                <w:highlight w:val="none"/>
              </w:rPr>
              <w:t>技术通过制的合理低价法</w:t>
            </w:r>
            <w:r>
              <w:rPr>
                <w:rFonts w:hint="eastAsia" w:ascii="仿宋_GB2312" w:hAnsi="黑体" w:eastAsia="仿宋_GB2312"/>
                <w:color w:val="auto"/>
                <w:kern w:val="2"/>
                <w:sz w:val="22"/>
                <w:szCs w:val="22"/>
                <w:highlight w:val="none"/>
              </w:rPr>
              <w:t>、</w:t>
            </w:r>
            <w:r>
              <w:rPr>
                <w:rFonts w:hint="eastAsia" w:ascii="仿宋_GB2312" w:hAnsi="黑体" w:eastAsia="仿宋_GB2312"/>
                <w:b/>
                <w:bCs/>
                <w:color w:val="auto"/>
                <w:kern w:val="2"/>
                <w:sz w:val="22"/>
                <w:szCs w:val="22"/>
                <w:highlight w:val="none"/>
              </w:rPr>
              <w:t>技术打分制的合理低价法、</w:t>
            </w:r>
            <w:r>
              <w:rPr>
                <w:rFonts w:hint="eastAsia" w:ascii="仿宋_GB2312" w:hAnsi="黑体" w:eastAsia="仿宋_GB2312"/>
                <w:color w:val="auto"/>
                <w:kern w:val="2"/>
                <w:sz w:val="22"/>
                <w:szCs w:val="22"/>
                <w:highlight w:val="none"/>
              </w:rPr>
              <w:t>综合评分法时，信誉得分设置如下：</w:t>
            </w:r>
          </w:p>
          <w:p>
            <w:pPr>
              <w:pStyle w:val="18"/>
              <w:ind w:firstLine="428" w:firstLineChars="200"/>
              <w:rPr>
                <w:rFonts w:ascii="仿宋_GB2312" w:hAnsi="黑体" w:eastAsia="仿宋_GB2312"/>
                <w:color w:val="auto"/>
                <w:kern w:val="2"/>
                <w:sz w:val="22"/>
                <w:szCs w:val="22"/>
                <w:highlight w:val="none"/>
              </w:rPr>
            </w:pPr>
            <w:r>
              <w:rPr>
                <w:rFonts w:hint="eastAsia" w:ascii="仿宋_GB2312" w:hAnsi="黑体" w:eastAsia="仿宋_GB2312"/>
                <w:color w:val="auto"/>
                <w:kern w:val="2"/>
                <w:sz w:val="22"/>
                <w:szCs w:val="22"/>
                <w:highlight w:val="none"/>
              </w:rPr>
              <w:t>（1）根据浙江省交通运输厅公布的信用评价结果，AA、A级投标人在投标中选择使用信用等级得分且有效的（《信用评价结果使用承诺书》中载明有效期，开标时《信用评价结果使用承诺书》应有效。每期公布信用评价结果注明使用有效期，在使用有效期内</w:t>
            </w:r>
            <w:r>
              <w:rPr>
                <w:rFonts w:hint="eastAsia" w:ascii="仿宋_GB2312" w:hAnsi="黑体" w:eastAsia="仿宋_GB2312"/>
                <w:b/>
                <w:color w:val="auto"/>
                <w:kern w:val="2"/>
                <w:sz w:val="22"/>
                <w:szCs w:val="22"/>
                <w:highlight w:val="none"/>
              </w:rPr>
              <w:t>AA级允许使用三次，A级允许使用二次</w:t>
            </w:r>
            <w:r>
              <w:rPr>
                <w:rFonts w:hint="eastAsia" w:ascii="仿宋_GB2312" w:hAnsi="黑体" w:eastAsia="仿宋_GB2312"/>
                <w:color w:val="auto"/>
                <w:kern w:val="2"/>
                <w:sz w:val="22"/>
                <w:szCs w:val="22"/>
                <w:highlight w:val="none"/>
              </w:rPr>
              <w:t>）信用等级得分为0.5分（无效或未使用的得0分）；B级得分为0分；C级得分为-0.5分；D级得分为-5分。当年未列入浙江省交通运输厅公路施工企业信用等级名单的投标人，其信用等级得分按0分计算。</w:t>
            </w:r>
          </w:p>
          <w:p>
            <w:pPr>
              <w:jc w:val="left"/>
              <w:rPr>
                <w:rFonts w:ascii="仿宋_GB2312" w:hAnsi="黑体"/>
                <w:color w:val="auto"/>
                <w:sz w:val="22"/>
                <w:szCs w:val="22"/>
                <w:highlight w:val="none"/>
              </w:rPr>
            </w:pPr>
            <w:r>
              <w:rPr>
                <w:rFonts w:hint="eastAsia" w:ascii="仿宋_GB2312" w:hAnsi="黑体"/>
                <w:color w:val="auto"/>
                <w:sz w:val="22"/>
                <w:szCs w:val="22"/>
                <w:highlight w:val="none"/>
              </w:rPr>
              <w:t>（2）根据浙江省交通运输厅公布的信用评价结果，拟任项目经理为</w:t>
            </w:r>
            <w:r>
              <w:rPr>
                <w:rFonts w:hint="eastAsia" w:ascii="仿宋_GB2312" w:hAnsi="黑体"/>
                <w:b/>
                <w:color w:val="auto"/>
                <w:sz w:val="22"/>
                <w:szCs w:val="22"/>
                <w:highlight w:val="none"/>
              </w:rPr>
              <w:t>AA级的得0.3分，A级的得0.15分</w:t>
            </w:r>
            <w:r>
              <w:rPr>
                <w:rFonts w:hint="eastAsia" w:ascii="仿宋_GB2312" w:hAnsi="黑体"/>
                <w:color w:val="auto"/>
                <w:sz w:val="22"/>
                <w:szCs w:val="22"/>
                <w:highlight w:val="none"/>
              </w:rPr>
              <w:t>，D级的得-2分，其余等级或未参加的得0分；拟任项目技术负责人为</w:t>
            </w:r>
            <w:r>
              <w:rPr>
                <w:rFonts w:hint="eastAsia" w:ascii="仿宋_GB2312" w:hAnsi="黑体"/>
                <w:b/>
                <w:color w:val="auto"/>
                <w:sz w:val="22"/>
                <w:szCs w:val="22"/>
                <w:highlight w:val="none"/>
              </w:rPr>
              <w:t>AA级的得0.1分，A级的得0.05分</w:t>
            </w:r>
            <w:r>
              <w:rPr>
                <w:rFonts w:hint="eastAsia" w:ascii="仿宋_GB2312" w:hAnsi="黑体"/>
                <w:color w:val="auto"/>
                <w:sz w:val="22"/>
                <w:szCs w:val="22"/>
                <w:highlight w:val="none"/>
              </w:rPr>
              <w:t>，D级的得-1分，其余等级或未参加的得0分；拟任安全负责人为</w:t>
            </w:r>
            <w:r>
              <w:rPr>
                <w:rFonts w:hint="eastAsia" w:ascii="仿宋_GB2312" w:hAnsi="黑体"/>
                <w:b/>
                <w:color w:val="auto"/>
                <w:sz w:val="22"/>
                <w:szCs w:val="22"/>
                <w:highlight w:val="none"/>
              </w:rPr>
              <w:t>AA级的得0.1分，A级的得0.05分</w:t>
            </w:r>
            <w:r>
              <w:rPr>
                <w:rFonts w:hint="eastAsia" w:ascii="仿宋_GB2312" w:hAnsi="黑体"/>
                <w:color w:val="auto"/>
                <w:sz w:val="22"/>
                <w:szCs w:val="22"/>
                <w:highlight w:val="none"/>
              </w:rPr>
              <w:t>，D级的得-1分，其余等级或未参加的得0分。</w:t>
            </w:r>
          </w:p>
        </w:tc>
        <w:tc>
          <w:tcPr>
            <w:tcW w:w="2130" w:type="dxa"/>
            <w:shd w:val="clear" w:color="auto" w:fill="auto"/>
            <w:vAlign w:val="center"/>
          </w:tcPr>
          <w:p>
            <w:pPr>
              <w:pStyle w:val="18"/>
              <w:jc w:val="both"/>
              <w:rPr>
                <w:rFonts w:hint="eastAsia" w:ascii="仿宋_GB2312" w:hAnsi="黑体" w:eastAsia="仿宋_GB2312"/>
                <w:color w:val="auto"/>
                <w:sz w:val="22"/>
                <w:szCs w:val="22"/>
                <w:highlight w:val="none"/>
                <w:lang w:eastAsia="zh-CN"/>
              </w:rPr>
            </w:pPr>
            <w:r>
              <w:rPr>
                <w:rFonts w:hint="eastAsia" w:ascii="仿宋_GB2312" w:hAnsi="黑体" w:eastAsia="仿宋_GB2312"/>
                <w:color w:val="auto"/>
                <w:kern w:val="2"/>
                <w:sz w:val="22"/>
                <w:szCs w:val="22"/>
                <w:highlight w:val="none"/>
              </w:rPr>
              <w:t>适当增加企业AA级加分使用次数。区分人员信用评价AA和A级得分</w:t>
            </w:r>
            <w:r>
              <w:rPr>
                <w:rFonts w:hint="eastAsia" w:ascii="仿宋_GB2312" w:hAnsi="黑体" w:eastAsia="仿宋_GB2312"/>
                <w:color w:val="auto"/>
                <w:kern w:val="2"/>
                <w:sz w:val="22"/>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shd w:val="clear" w:color="auto" w:fill="auto"/>
            <w:vAlign w:val="center"/>
          </w:tcPr>
          <w:p>
            <w:pPr>
              <w:spacing w:line="300" w:lineRule="exact"/>
              <w:jc w:val="center"/>
              <w:rPr>
                <w:rFonts w:ascii="仿宋_GB2312" w:hAnsi="黑体"/>
                <w:color w:val="auto"/>
                <w:sz w:val="22"/>
                <w:szCs w:val="22"/>
                <w:highlight w:val="none"/>
              </w:rPr>
            </w:pPr>
            <w:r>
              <w:rPr>
                <w:rFonts w:hint="eastAsia" w:ascii="仿宋_GB2312" w:hAnsi="黑体"/>
                <w:color w:val="auto"/>
                <w:sz w:val="22"/>
                <w:szCs w:val="22"/>
                <w:highlight w:val="none"/>
              </w:rPr>
              <w:t>2★</w:t>
            </w:r>
          </w:p>
        </w:tc>
        <w:tc>
          <w:tcPr>
            <w:tcW w:w="1326" w:type="dxa"/>
            <w:shd w:val="clear" w:color="auto" w:fill="auto"/>
            <w:vAlign w:val="center"/>
          </w:tcPr>
          <w:p>
            <w:pPr>
              <w:pStyle w:val="18"/>
              <w:spacing w:line="300" w:lineRule="exact"/>
              <w:jc w:val="both"/>
              <w:rPr>
                <w:rFonts w:ascii="仿宋_GB2312" w:hAnsi="黑体" w:eastAsia="仿宋_GB2312" w:cs="Times New Roman"/>
                <w:color w:val="auto"/>
                <w:kern w:val="2"/>
                <w:sz w:val="22"/>
                <w:szCs w:val="22"/>
                <w:highlight w:val="none"/>
              </w:rPr>
            </w:pPr>
            <w:r>
              <w:rPr>
                <w:rFonts w:hint="eastAsia" w:ascii="仿宋_GB2312" w:hAnsi="黑体" w:eastAsia="仿宋_GB2312"/>
                <w:color w:val="auto"/>
                <w:kern w:val="2"/>
                <w:sz w:val="22"/>
                <w:szCs w:val="22"/>
                <w:highlight w:val="none"/>
              </w:rPr>
              <w:t>使用指南：二、招标公告部分/（三）投标资格要求/2联合体</w:t>
            </w:r>
          </w:p>
        </w:tc>
        <w:tc>
          <w:tcPr>
            <w:tcW w:w="4912" w:type="dxa"/>
            <w:shd w:val="clear" w:color="auto" w:fill="auto"/>
            <w:vAlign w:val="center"/>
          </w:tcPr>
          <w:p>
            <w:pPr>
              <w:pStyle w:val="18"/>
              <w:ind w:firstLine="428" w:firstLineChars="200"/>
              <w:jc w:val="both"/>
              <w:rPr>
                <w:rFonts w:ascii="仿宋_GB2312" w:hAnsi="黑体" w:eastAsia="仿宋_GB2312"/>
                <w:color w:val="auto"/>
                <w:sz w:val="22"/>
                <w:szCs w:val="22"/>
                <w:highlight w:val="none"/>
              </w:rPr>
            </w:pPr>
            <w:r>
              <w:rPr>
                <w:rFonts w:hint="eastAsia" w:ascii="仿宋_GB2312" w:hAnsi="黑体" w:eastAsia="仿宋_GB2312"/>
                <w:b/>
                <w:bCs/>
                <w:color w:val="auto"/>
                <w:kern w:val="2"/>
                <w:sz w:val="22"/>
                <w:szCs w:val="22"/>
                <w:highlight w:val="none"/>
              </w:rPr>
              <w:t>资格审查条件（资质最低要求）为单项资质要求的，一般不接受联合体投标。同一资质确需接受联合体投标的，应有充分理由。</w:t>
            </w:r>
            <w:r>
              <w:rPr>
                <w:rFonts w:hint="eastAsia" w:ascii="仿宋_GB2312" w:hAnsi="黑体" w:eastAsia="仿宋_GB2312"/>
                <w:color w:val="auto"/>
                <w:kern w:val="2"/>
                <w:sz w:val="22"/>
                <w:szCs w:val="22"/>
                <w:highlight w:val="none"/>
              </w:rPr>
              <w:t>单项资质接受联合体投标的，信誉扣分按各成员叠加，使用信用评价等级得分的，需联合体各方均使用并符合要求方可加分。</w:t>
            </w:r>
          </w:p>
        </w:tc>
        <w:tc>
          <w:tcPr>
            <w:tcW w:w="4907" w:type="dxa"/>
            <w:shd w:val="clear" w:color="auto" w:fill="auto"/>
            <w:vAlign w:val="center"/>
          </w:tcPr>
          <w:p>
            <w:pPr>
              <w:pStyle w:val="18"/>
              <w:ind w:firstLine="428" w:firstLineChars="200"/>
              <w:jc w:val="both"/>
              <w:rPr>
                <w:rFonts w:ascii="仿宋_GB2312" w:hAnsi="黑体" w:eastAsia="仿宋_GB2312"/>
                <w:color w:val="auto"/>
                <w:sz w:val="22"/>
                <w:szCs w:val="22"/>
                <w:highlight w:val="none"/>
              </w:rPr>
            </w:pPr>
            <w:r>
              <w:rPr>
                <w:rFonts w:hint="eastAsia" w:ascii="仿宋_GB2312" w:hAnsi="黑体" w:eastAsia="仿宋_GB2312"/>
                <w:color w:val="auto"/>
                <w:kern w:val="2"/>
                <w:sz w:val="22"/>
                <w:szCs w:val="22"/>
                <w:highlight w:val="none"/>
              </w:rPr>
              <w:t>单项资质接受联合体投标的，信誉扣分按各成员叠加，使用信用评价等级得分的，需联合体各方均使用并符合要求方可加分。</w:t>
            </w:r>
          </w:p>
        </w:tc>
        <w:tc>
          <w:tcPr>
            <w:tcW w:w="2130" w:type="dxa"/>
            <w:shd w:val="clear" w:color="auto" w:fill="auto"/>
            <w:vAlign w:val="center"/>
          </w:tcPr>
          <w:p>
            <w:pPr>
              <w:pStyle w:val="18"/>
              <w:jc w:val="both"/>
              <w:rPr>
                <w:rFonts w:ascii="仿宋_GB2312" w:hAnsi="黑体" w:eastAsia="仿宋_GB2312"/>
                <w:color w:val="auto"/>
                <w:sz w:val="22"/>
                <w:szCs w:val="22"/>
                <w:highlight w:val="none"/>
              </w:rPr>
            </w:pPr>
            <w:r>
              <w:rPr>
                <w:rFonts w:hint="eastAsia" w:ascii="仿宋_GB2312" w:hAnsi="黑体" w:eastAsia="仿宋_GB2312"/>
                <w:color w:val="auto"/>
                <w:kern w:val="2"/>
                <w:sz w:val="22"/>
                <w:szCs w:val="22"/>
                <w:highlight w:val="none"/>
              </w:rPr>
              <w:t>浙江省人民政府办公厅关于进一步支持建筑业做优做强的若干意见（浙政办发〔2022〕47号）第五条：推动企业共赢发展。支持我省建筑业示范企业与央企、省外地方国有企业强强联合，积极扩大采用联合体投标方式承建项目试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shd w:val="clear" w:color="auto" w:fill="auto"/>
            <w:vAlign w:val="center"/>
          </w:tcPr>
          <w:p>
            <w:pPr>
              <w:spacing w:line="300" w:lineRule="exact"/>
              <w:jc w:val="center"/>
              <w:rPr>
                <w:rFonts w:ascii="仿宋_GB2312" w:hAnsi="黑体"/>
                <w:color w:val="auto"/>
                <w:sz w:val="22"/>
                <w:szCs w:val="22"/>
                <w:highlight w:val="none"/>
              </w:rPr>
            </w:pPr>
            <w:r>
              <w:rPr>
                <w:rFonts w:hint="eastAsia" w:ascii="仿宋_GB2312" w:hAnsi="黑体"/>
                <w:color w:val="auto"/>
                <w:sz w:val="22"/>
                <w:szCs w:val="22"/>
                <w:highlight w:val="none"/>
              </w:rPr>
              <w:t>3★</w:t>
            </w:r>
          </w:p>
        </w:tc>
        <w:tc>
          <w:tcPr>
            <w:tcW w:w="1326" w:type="dxa"/>
            <w:shd w:val="clear" w:color="auto" w:fill="auto"/>
            <w:vAlign w:val="center"/>
          </w:tcPr>
          <w:p>
            <w:pPr>
              <w:pStyle w:val="18"/>
              <w:spacing w:line="300" w:lineRule="exact"/>
              <w:jc w:val="both"/>
              <w:rPr>
                <w:rFonts w:ascii="仿宋_GB2312" w:hAnsi="黑体" w:eastAsia="仿宋_GB2312" w:cs="Times New Roman"/>
                <w:color w:val="auto"/>
                <w:kern w:val="2"/>
                <w:sz w:val="22"/>
                <w:szCs w:val="22"/>
                <w:highlight w:val="none"/>
              </w:rPr>
            </w:pPr>
            <w:r>
              <w:rPr>
                <w:rFonts w:hint="eastAsia" w:ascii="仿宋_GB2312" w:hAnsi="黑体" w:eastAsia="仿宋_GB2312"/>
                <w:bCs/>
                <w:color w:val="auto"/>
                <w:kern w:val="2"/>
                <w:sz w:val="22"/>
                <w:szCs w:val="22"/>
                <w:highlight w:val="none"/>
              </w:rPr>
              <w:t>使用指南：三、投标人须知部分/（二）资格审查条件/3、4合并为3</w:t>
            </w:r>
            <w:r>
              <w:rPr>
                <w:rFonts w:hint="eastAsia" w:ascii="仿宋_GB2312" w:hAnsi="黑体" w:eastAsia="仿宋_GB2312"/>
                <w:color w:val="auto"/>
                <w:sz w:val="22"/>
                <w:szCs w:val="22"/>
                <w:highlight w:val="none"/>
              </w:rPr>
              <w:t>业绩设置标准</w:t>
            </w:r>
          </w:p>
        </w:tc>
        <w:tc>
          <w:tcPr>
            <w:tcW w:w="4912" w:type="dxa"/>
            <w:shd w:val="clear" w:color="auto" w:fill="auto"/>
            <w:vAlign w:val="center"/>
          </w:tcPr>
          <w:p>
            <w:pPr>
              <w:pStyle w:val="18"/>
              <w:numPr>
                <w:ilvl w:val="0"/>
                <w:numId w:val="1"/>
              </w:numPr>
              <w:spacing w:line="300" w:lineRule="exact"/>
              <w:ind w:firstLine="428" w:firstLineChars="200"/>
              <w:jc w:val="both"/>
              <w:rPr>
                <w:rFonts w:ascii="仿宋_GB2312" w:hAnsi="黑体" w:eastAsia="仿宋_GB2312"/>
                <w:bCs/>
                <w:color w:val="auto"/>
                <w:kern w:val="2"/>
                <w:sz w:val="22"/>
                <w:szCs w:val="22"/>
                <w:highlight w:val="none"/>
              </w:rPr>
            </w:pPr>
            <w:r>
              <w:rPr>
                <w:rFonts w:hint="eastAsia" w:ascii="仿宋_GB2312" w:hAnsi="黑体" w:eastAsia="仿宋_GB2312"/>
                <w:bCs/>
                <w:color w:val="auto"/>
                <w:kern w:val="2"/>
                <w:sz w:val="22"/>
                <w:szCs w:val="22"/>
                <w:highlight w:val="none"/>
              </w:rPr>
              <w:t>“</w:t>
            </w:r>
            <w:bookmarkStart w:id="0" w:name="_Hlk90283065"/>
            <w:r>
              <w:rPr>
                <w:rFonts w:hint="eastAsia" w:ascii="仿宋_GB2312" w:hAnsi="黑体" w:eastAsia="仿宋_GB2312"/>
                <w:bCs/>
                <w:color w:val="auto"/>
                <w:kern w:val="2"/>
                <w:sz w:val="22"/>
                <w:szCs w:val="22"/>
                <w:highlight w:val="none"/>
              </w:rPr>
              <w:t>技术通过制的综合评估法（合理低价法）</w:t>
            </w:r>
            <w:bookmarkEnd w:id="0"/>
            <w:r>
              <w:rPr>
                <w:rFonts w:hint="eastAsia" w:ascii="仿宋_GB2312" w:hAnsi="黑体" w:eastAsia="仿宋_GB2312"/>
                <w:bCs/>
                <w:color w:val="auto"/>
                <w:kern w:val="2"/>
                <w:sz w:val="22"/>
                <w:szCs w:val="22"/>
                <w:highlight w:val="none"/>
              </w:rPr>
              <w:t>”业绩设置标准：</w:t>
            </w:r>
          </w:p>
          <w:p>
            <w:pPr>
              <w:pStyle w:val="18"/>
              <w:numPr>
                <w:ilvl w:val="0"/>
                <w:numId w:val="1"/>
              </w:numPr>
              <w:spacing w:line="300" w:lineRule="exact"/>
              <w:ind w:firstLine="428" w:firstLineChars="200"/>
              <w:jc w:val="both"/>
              <w:rPr>
                <w:rFonts w:ascii="仿宋_GB2312" w:hAnsi="黑体" w:eastAsia="仿宋_GB2312"/>
                <w:bCs/>
                <w:color w:val="auto"/>
                <w:kern w:val="2"/>
                <w:sz w:val="22"/>
                <w:szCs w:val="22"/>
                <w:highlight w:val="none"/>
              </w:rPr>
            </w:pPr>
            <w:r>
              <w:rPr>
                <w:rFonts w:hint="eastAsia" w:ascii="仿宋_GB2312" w:hAnsi="黑体" w:eastAsia="仿宋_GB2312"/>
                <w:bCs/>
                <w:color w:val="auto"/>
                <w:kern w:val="2"/>
                <w:sz w:val="22"/>
                <w:szCs w:val="22"/>
                <w:highlight w:val="none"/>
              </w:rPr>
              <w:t>“</w:t>
            </w:r>
            <w:bookmarkStart w:id="1" w:name="_Hlk90283050"/>
            <w:r>
              <w:rPr>
                <w:rFonts w:hint="eastAsia" w:ascii="仿宋_GB2312" w:hAnsi="黑体" w:eastAsia="仿宋_GB2312"/>
                <w:bCs/>
                <w:color w:val="auto"/>
                <w:kern w:val="2"/>
                <w:sz w:val="22"/>
                <w:szCs w:val="22"/>
                <w:highlight w:val="none"/>
              </w:rPr>
              <w:t>技术打分制的综合评估法（综合评分法）</w:t>
            </w:r>
            <w:bookmarkEnd w:id="1"/>
            <w:r>
              <w:rPr>
                <w:rFonts w:hint="eastAsia" w:ascii="仿宋_GB2312" w:hAnsi="黑体" w:eastAsia="仿宋_GB2312"/>
                <w:bCs/>
                <w:color w:val="auto"/>
                <w:kern w:val="2"/>
                <w:sz w:val="22"/>
                <w:szCs w:val="22"/>
                <w:highlight w:val="none"/>
              </w:rPr>
              <w:t>”适用条件及业绩设置标准</w:t>
            </w:r>
          </w:p>
          <w:p>
            <w:pPr>
              <w:pStyle w:val="18"/>
              <w:spacing w:line="300" w:lineRule="exact"/>
              <w:jc w:val="both"/>
              <w:rPr>
                <w:rFonts w:ascii="仿宋_GB2312" w:hAnsi="黑体" w:eastAsia="仿宋_GB2312"/>
                <w:bCs/>
                <w:color w:val="auto"/>
                <w:kern w:val="2"/>
                <w:sz w:val="22"/>
                <w:szCs w:val="22"/>
                <w:highlight w:val="none"/>
              </w:rPr>
            </w:pPr>
            <w:r>
              <w:rPr>
                <w:rFonts w:hint="eastAsia" w:ascii="仿宋_GB2312" w:hAnsi="黑体" w:eastAsia="仿宋_GB2312"/>
                <w:bCs/>
                <w:color w:val="auto"/>
                <w:kern w:val="2"/>
                <w:sz w:val="22"/>
                <w:szCs w:val="22"/>
                <w:highlight w:val="none"/>
              </w:rPr>
              <w:t xml:space="preserve">    及相关图表。</w:t>
            </w:r>
          </w:p>
        </w:tc>
        <w:tc>
          <w:tcPr>
            <w:tcW w:w="4907" w:type="dxa"/>
            <w:shd w:val="clear" w:color="auto" w:fill="auto"/>
            <w:vAlign w:val="center"/>
          </w:tcPr>
          <w:p>
            <w:pPr>
              <w:pStyle w:val="18"/>
              <w:ind w:firstLine="428" w:firstLineChars="200"/>
              <w:jc w:val="both"/>
              <w:rPr>
                <w:rFonts w:ascii="仿宋_GB2312" w:hAnsi="黑体" w:eastAsia="仿宋_GB2312"/>
                <w:color w:val="auto"/>
                <w:kern w:val="2"/>
                <w:sz w:val="22"/>
                <w:szCs w:val="22"/>
                <w:highlight w:val="none"/>
              </w:rPr>
            </w:pPr>
            <w:r>
              <w:rPr>
                <w:rFonts w:hint="eastAsia" w:ascii="仿宋_GB2312" w:hAnsi="黑体" w:eastAsia="仿宋_GB2312"/>
                <w:color w:val="auto"/>
                <w:kern w:val="2"/>
                <w:sz w:val="22"/>
                <w:szCs w:val="22"/>
                <w:highlight w:val="none"/>
              </w:rPr>
              <w:t>3. 业绩设置标准</w:t>
            </w:r>
          </w:p>
          <w:p>
            <w:pPr>
              <w:pStyle w:val="18"/>
              <w:ind w:firstLine="428" w:firstLineChars="200"/>
              <w:jc w:val="both"/>
              <w:rPr>
                <w:rFonts w:ascii="仿宋_GB2312" w:hAnsi="黑体" w:eastAsia="仿宋_GB2312"/>
                <w:color w:val="auto"/>
                <w:kern w:val="2"/>
                <w:sz w:val="22"/>
                <w:szCs w:val="22"/>
                <w:highlight w:val="none"/>
              </w:rPr>
            </w:pPr>
            <w:r>
              <w:rPr>
                <w:rFonts w:hint="eastAsia" w:ascii="仿宋_GB2312" w:hAnsi="黑体" w:eastAsia="仿宋_GB2312"/>
                <w:color w:val="auto"/>
                <w:kern w:val="2"/>
                <w:sz w:val="22"/>
                <w:szCs w:val="22"/>
                <w:highlight w:val="none"/>
              </w:rPr>
              <w:t>详见附件1：业绩设置标准</w:t>
            </w:r>
          </w:p>
        </w:tc>
        <w:tc>
          <w:tcPr>
            <w:tcW w:w="2130" w:type="dxa"/>
            <w:shd w:val="clear" w:color="auto" w:fill="auto"/>
            <w:vAlign w:val="center"/>
          </w:tcPr>
          <w:p>
            <w:pPr>
              <w:pStyle w:val="18"/>
              <w:jc w:val="both"/>
              <w:rPr>
                <w:rFonts w:ascii="仿宋_GB2312" w:hAnsi="黑体" w:eastAsia="仿宋_GB2312"/>
                <w:color w:val="auto"/>
                <w:sz w:val="22"/>
                <w:szCs w:val="22"/>
                <w:highlight w:val="none"/>
              </w:rPr>
            </w:pPr>
            <w:r>
              <w:rPr>
                <w:rFonts w:hint="eastAsia" w:ascii="仿宋_GB2312" w:hAnsi="黑体" w:eastAsia="仿宋_GB2312"/>
                <w:color w:val="auto"/>
                <w:sz w:val="22"/>
                <w:szCs w:val="22"/>
                <w:highlight w:val="none"/>
              </w:rPr>
              <w:t>落实招标人主体责任。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shd w:val="clear" w:color="auto" w:fill="auto"/>
            <w:vAlign w:val="center"/>
          </w:tcPr>
          <w:p>
            <w:pPr>
              <w:spacing w:line="300" w:lineRule="exact"/>
              <w:jc w:val="center"/>
              <w:rPr>
                <w:rFonts w:ascii="仿宋_GB2312" w:hAnsi="黑体"/>
                <w:color w:val="auto"/>
                <w:sz w:val="22"/>
                <w:szCs w:val="22"/>
                <w:highlight w:val="none"/>
              </w:rPr>
            </w:pPr>
            <w:r>
              <w:rPr>
                <w:rFonts w:hint="eastAsia" w:ascii="仿宋_GB2312" w:hAnsi="黑体"/>
                <w:color w:val="auto"/>
                <w:sz w:val="22"/>
                <w:szCs w:val="22"/>
                <w:highlight w:val="none"/>
              </w:rPr>
              <w:t>4★</w:t>
            </w:r>
          </w:p>
        </w:tc>
        <w:tc>
          <w:tcPr>
            <w:tcW w:w="1326" w:type="dxa"/>
            <w:shd w:val="clear" w:color="auto" w:fill="auto"/>
            <w:vAlign w:val="center"/>
          </w:tcPr>
          <w:p>
            <w:pPr>
              <w:pStyle w:val="18"/>
              <w:spacing w:line="300" w:lineRule="exact"/>
              <w:jc w:val="both"/>
              <w:rPr>
                <w:rFonts w:ascii="仿宋_GB2312" w:hAnsi="黑体" w:eastAsia="仿宋_GB2312"/>
                <w:bCs/>
                <w:color w:val="auto"/>
                <w:kern w:val="2"/>
                <w:sz w:val="22"/>
                <w:szCs w:val="22"/>
                <w:highlight w:val="none"/>
              </w:rPr>
            </w:pPr>
            <w:r>
              <w:rPr>
                <w:rFonts w:hint="eastAsia" w:ascii="仿宋_GB2312" w:hAnsi="黑体" w:eastAsia="仿宋_GB2312"/>
                <w:bCs/>
                <w:color w:val="auto"/>
                <w:kern w:val="2"/>
                <w:sz w:val="22"/>
                <w:szCs w:val="22"/>
                <w:highlight w:val="none"/>
              </w:rPr>
              <w:t>使用指</w:t>
            </w:r>
            <w:r>
              <w:rPr>
                <w:rFonts w:hint="eastAsia" w:ascii="仿宋_GB2312" w:hAnsi="黑体" w:eastAsia="仿宋_GB2312" w:cs="Times New Roman"/>
                <w:color w:val="auto"/>
                <w:kern w:val="2"/>
                <w:sz w:val="22"/>
                <w:szCs w:val="22"/>
                <w:highlight w:val="none"/>
              </w:rPr>
              <w:t>南：四、评标办法部分/（一）评标办法的选用</w:t>
            </w:r>
          </w:p>
        </w:tc>
        <w:tc>
          <w:tcPr>
            <w:tcW w:w="4912" w:type="dxa"/>
            <w:shd w:val="clear" w:color="auto" w:fill="auto"/>
            <w:vAlign w:val="center"/>
          </w:tcPr>
          <w:p>
            <w:pPr>
              <w:spacing w:line="300" w:lineRule="exact"/>
              <w:ind w:firstLine="428" w:firstLineChars="200"/>
              <w:rPr>
                <w:rFonts w:ascii="仿宋_GB2312" w:hAnsi="黑体"/>
                <w:color w:val="auto"/>
                <w:sz w:val="22"/>
                <w:szCs w:val="22"/>
                <w:highlight w:val="none"/>
              </w:rPr>
            </w:pPr>
            <w:r>
              <w:rPr>
                <w:rFonts w:hint="eastAsia" w:ascii="仿宋_GB2312" w:hAnsi="黑体"/>
                <w:color w:val="auto"/>
                <w:sz w:val="22"/>
                <w:szCs w:val="22"/>
                <w:highlight w:val="none"/>
              </w:rPr>
              <w:t>（一）评标办法的选用</w:t>
            </w:r>
          </w:p>
          <w:p>
            <w:pPr>
              <w:spacing w:line="300" w:lineRule="exact"/>
              <w:ind w:firstLine="428" w:firstLineChars="200"/>
              <w:rPr>
                <w:rFonts w:ascii="仿宋_GB2312" w:hAnsi="黑体"/>
                <w:color w:val="auto"/>
                <w:sz w:val="22"/>
                <w:szCs w:val="22"/>
                <w:highlight w:val="none"/>
              </w:rPr>
            </w:pPr>
            <w:r>
              <w:rPr>
                <w:rFonts w:hint="eastAsia" w:ascii="仿宋_GB2312" w:hAnsi="黑体"/>
                <w:color w:val="auto"/>
                <w:sz w:val="22"/>
                <w:szCs w:val="22"/>
                <w:highlight w:val="none"/>
              </w:rPr>
              <w:t>1. 公路施工项目招标设技术通过制的综合评估法（合理低价法）、技术打分制的综合评估法（综合评分法）、经评审的最低投标价法。</w:t>
            </w:r>
          </w:p>
          <w:p>
            <w:pPr>
              <w:spacing w:line="300" w:lineRule="exact"/>
              <w:ind w:firstLine="428" w:firstLineChars="200"/>
              <w:rPr>
                <w:rFonts w:ascii="仿宋_GB2312" w:hAnsi="黑体"/>
                <w:color w:val="auto"/>
                <w:sz w:val="22"/>
                <w:szCs w:val="22"/>
                <w:highlight w:val="none"/>
              </w:rPr>
            </w:pPr>
            <w:r>
              <w:rPr>
                <w:rFonts w:hint="eastAsia" w:ascii="仿宋_GB2312" w:hAnsi="黑体"/>
                <w:color w:val="auto"/>
                <w:sz w:val="22"/>
                <w:szCs w:val="22"/>
                <w:highlight w:val="none"/>
              </w:rPr>
              <w:t>2. “技术通过制的综合评估法（合理低价法）”是综合评估法的评分因素中评标价得分为98.5分、企业信誉评分因素分值为1.5分、其他主观评分因素分值为0分的特例（房建等附属设施招标时评标价得分为100分、其他主观评分因素分值为0分）。</w:t>
            </w:r>
            <w:r>
              <w:rPr>
                <w:rFonts w:hint="eastAsia" w:ascii="仿宋_GB2312" w:hAnsi="黑体"/>
                <w:b/>
                <w:bCs/>
                <w:color w:val="auto"/>
                <w:sz w:val="22"/>
                <w:szCs w:val="22"/>
                <w:highlight w:val="none"/>
              </w:rPr>
              <w:t>我省公路工程施工招标评标办法一般应当使用 “技术通过制的综合评估法（合理低价法）”。</w:t>
            </w:r>
          </w:p>
          <w:p>
            <w:pPr>
              <w:spacing w:line="300" w:lineRule="exact"/>
              <w:ind w:firstLine="428" w:firstLineChars="200"/>
              <w:rPr>
                <w:rFonts w:ascii="仿宋_GB2312" w:hAnsi="黑体"/>
                <w:color w:val="auto"/>
                <w:sz w:val="22"/>
                <w:szCs w:val="22"/>
                <w:highlight w:val="none"/>
              </w:rPr>
            </w:pPr>
            <w:r>
              <w:rPr>
                <w:rFonts w:hint="eastAsia" w:ascii="仿宋_GB2312" w:hAnsi="黑体"/>
                <w:color w:val="auto"/>
                <w:sz w:val="22"/>
                <w:szCs w:val="22"/>
                <w:highlight w:val="none"/>
              </w:rPr>
              <w:t>3. “技术打分制的综合评估法（综合评分法）”是指对通过初步评审的投标人的评标价、施工组织设计、项目管理机构、技术能力等因素进行评分，按照综合得分由高到低排序，推荐中标候选人的评标方法。技术特别复杂的特大桥梁和长大隧道项目主体工程，符合第三条中“‘技术打分制的综合评估法（综合评分法）’适用条件及业绩设置标准”的，</w:t>
            </w:r>
            <w:r>
              <w:rPr>
                <w:rFonts w:hint="eastAsia" w:ascii="仿宋_GB2312" w:hAnsi="黑体"/>
                <w:b/>
                <w:bCs/>
                <w:color w:val="auto"/>
                <w:sz w:val="22"/>
                <w:szCs w:val="22"/>
                <w:highlight w:val="none"/>
              </w:rPr>
              <w:t>应</w:t>
            </w:r>
            <w:r>
              <w:rPr>
                <w:rFonts w:hint="eastAsia" w:ascii="仿宋_GB2312" w:hAnsi="黑体"/>
                <w:color w:val="auto"/>
                <w:sz w:val="22"/>
                <w:szCs w:val="22"/>
                <w:highlight w:val="none"/>
              </w:rPr>
              <w:t>采用技术打分制的综合评估法（综合评分法）。</w:t>
            </w:r>
          </w:p>
          <w:p>
            <w:pPr>
              <w:spacing w:line="300" w:lineRule="exact"/>
              <w:ind w:firstLine="428" w:firstLineChars="200"/>
              <w:rPr>
                <w:rFonts w:ascii="仿宋_GB2312" w:hAnsi="黑体"/>
                <w:color w:val="auto"/>
                <w:sz w:val="22"/>
                <w:szCs w:val="22"/>
                <w:highlight w:val="none"/>
              </w:rPr>
            </w:pPr>
            <w:r>
              <w:rPr>
                <w:rFonts w:hint="eastAsia" w:ascii="仿宋_GB2312" w:hAnsi="黑体"/>
                <w:color w:val="auto"/>
                <w:sz w:val="22"/>
                <w:szCs w:val="22"/>
                <w:highlight w:val="none"/>
              </w:rPr>
              <w:t>符合条件并适用“技术打分制的综合评估法（综合评分法）”的，由交通运输行业主管部门（或相应招投标监管部门）在招标文件备案表中出具意见。</w:t>
            </w:r>
          </w:p>
          <w:p>
            <w:pPr>
              <w:spacing w:line="300" w:lineRule="exact"/>
              <w:ind w:firstLine="428" w:firstLineChars="200"/>
              <w:rPr>
                <w:rFonts w:ascii="仿宋_GB2312" w:hAnsi="黑体"/>
                <w:color w:val="auto"/>
                <w:sz w:val="22"/>
                <w:szCs w:val="22"/>
                <w:highlight w:val="none"/>
              </w:rPr>
            </w:pPr>
            <w:r>
              <w:rPr>
                <w:rFonts w:hint="eastAsia" w:ascii="仿宋_GB2312" w:hAnsi="黑体"/>
                <w:color w:val="auto"/>
                <w:sz w:val="22"/>
                <w:szCs w:val="22"/>
                <w:highlight w:val="none"/>
              </w:rPr>
              <w:t>4. “经评审的最低投标价法”一般适用于工程规模较小、技术含量较低的工程。</w:t>
            </w:r>
          </w:p>
        </w:tc>
        <w:tc>
          <w:tcPr>
            <w:tcW w:w="4907" w:type="dxa"/>
            <w:shd w:val="clear" w:color="auto" w:fill="auto"/>
            <w:vAlign w:val="center"/>
          </w:tcPr>
          <w:p>
            <w:pPr>
              <w:spacing w:line="300" w:lineRule="exact"/>
              <w:ind w:firstLine="428" w:firstLineChars="200"/>
              <w:rPr>
                <w:rFonts w:ascii="仿宋_GB2312" w:hAnsi="黑体"/>
                <w:color w:val="auto"/>
                <w:sz w:val="22"/>
                <w:szCs w:val="22"/>
                <w:highlight w:val="none"/>
              </w:rPr>
            </w:pPr>
            <w:r>
              <w:rPr>
                <w:rFonts w:hint="eastAsia" w:ascii="仿宋_GB2312" w:hAnsi="黑体"/>
                <w:color w:val="auto"/>
                <w:sz w:val="22"/>
                <w:szCs w:val="22"/>
                <w:highlight w:val="none"/>
              </w:rPr>
              <w:t>（一）评标办法的选用</w:t>
            </w:r>
          </w:p>
          <w:p>
            <w:pPr>
              <w:spacing w:line="300" w:lineRule="exact"/>
              <w:ind w:firstLine="428" w:firstLineChars="200"/>
              <w:rPr>
                <w:rFonts w:ascii="仿宋_GB2312" w:hAnsi="黑体"/>
                <w:color w:val="auto"/>
                <w:sz w:val="22"/>
                <w:szCs w:val="22"/>
                <w:highlight w:val="none"/>
              </w:rPr>
            </w:pPr>
            <w:r>
              <w:rPr>
                <w:rFonts w:hint="eastAsia" w:ascii="仿宋_GB2312" w:hAnsi="黑体"/>
                <w:color w:val="auto"/>
                <w:sz w:val="22"/>
                <w:szCs w:val="22"/>
                <w:highlight w:val="none"/>
              </w:rPr>
              <w:t>1. 公路施工项目招标设</w:t>
            </w:r>
            <w:bookmarkStart w:id="2" w:name="_Hlk91079086"/>
            <w:r>
              <w:rPr>
                <w:rFonts w:hint="eastAsia" w:ascii="仿宋_GB2312" w:hAnsi="黑体"/>
                <w:b/>
                <w:bCs/>
                <w:color w:val="auto"/>
                <w:sz w:val="22"/>
                <w:szCs w:val="22"/>
                <w:highlight w:val="none"/>
              </w:rPr>
              <w:t>技术通过制的合理低价法、技术打分制的合理低价法、</w:t>
            </w:r>
            <w:r>
              <w:rPr>
                <w:rFonts w:hint="eastAsia" w:ascii="仿宋_GB2312" w:hAnsi="黑体"/>
                <w:color w:val="auto"/>
                <w:sz w:val="22"/>
                <w:szCs w:val="22"/>
                <w:highlight w:val="none"/>
              </w:rPr>
              <w:t>综合评分法、经评审的最低投标价法</w:t>
            </w:r>
            <w:bookmarkEnd w:id="2"/>
            <w:r>
              <w:rPr>
                <w:rFonts w:hint="eastAsia" w:ascii="仿宋_GB2312" w:hAnsi="黑体"/>
                <w:color w:val="auto"/>
                <w:sz w:val="22"/>
                <w:szCs w:val="22"/>
                <w:highlight w:val="none"/>
              </w:rPr>
              <w:t>。</w:t>
            </w:r>
          </w:p>
          <w:p>
            <w:pPr>
              <w:spacing w:line="300" w:lineRule="exact"/>
              <w:ind w:firstLine="428" w:firstLineChars="200"/>
              <w:rPr>
                <w:rFonts w:ascii="仿宋_GB2312" w:hAnsi="黑体"/>
                <w:color w:val="auto"/>
                <w:sz w:val="22"/>
                <w:szCs w:val="22"/>
                <w:highlight w:val="none"/>
              </w:rPr>
            </w:pPr>
            <w:r>
              <w:rPr>
                <w:rFonts w:hint="eastAsia" w:ascii="仿宋_GB2312" w:hAnsi="黑体"/>
                <w:color w:val="auto"/>
                <w:sz w:val="22"/>
                <w:szCs w:val="22"/>
                <w:highlight w:val="none"/>
              </w:rPr>
              <w:t>2.</w:t>
            </w:r>
            <w:r>
              <w:rPr>
                <w:rFonts w:hint="eastAsia" w:ascii="仿宋_GB2312" w:hAnsi="黑体"/>
                <w:b/>
                <w:bCs/>
                <w:color w:val="auto"/>
                <w:sz w:val="22"/>
                <w:szCs w:val="22"/>
                <w:highlight w:val="none"/>
              </w:rPr>
              <w:t>“技术通过制的合理低价法”</w:t>
            </w:r>
            <w:r>
              <w:rPr>
                <w:rFonts w:hint="eastAsia" w:ascii="仿宋_GB2312" w:hAnsi="黑体"/>
                <w:color w:val="auto"/>
                <w:sz w:val="22"/>
                <w:szCs w:val="22"/>
                <w:highlight w:val="none"/>
              </w:rPr>
              <w:t>是综合评估法的评分因素中评标价得分为98.5分、企业信誉评分因素分值为1.5分、其他主观评分因素分值为0分的特例</w:t>
            </w:r>
            <w:bookmarkStart w:id="3" w:name="_Hlk83191558"/>
            <w:r>
              <w:rPr>
                <w:rFonts w:hint="eastAsia" w:ascii="仿宋_GB2312" w:hAnsi="黑体"/>
                <w:color w:val="auto"/>
                <w:sz w:val="22"/>
                <w:szCs w:val="22"/>
                <w:highlight w:val="none"/>
              </w:rPr>
              <w:t>（房建等附属设施招标时评标价得分为100分、其他主观评分因素分值为0分）</w:t>
            </w:r>
            <w:bookmarkEnd w:id="3"/>
            <w:r>
              <w:rPr>
                <w:rFonts w:hint="eastAsia" w:ascii="仿宋_GB2312" w:hAnsi="黑体"/>
                <w:color w:val="auto"/>
                <w:sz w:val="22"/>
                <w:szCs w:val="22"/>
                <w:highlight w:val="none"/>
              </w:rPr>
              <w:t>。</w:t>
            </w:r>
            <w:r>
              <w:rPr>
                <w:rFonts w:hint="eastAsia" w:ascii="仿宋_GB2312" w:hAnsi="黑体"/>
                <w:b/>
                <w:bCs/>
                <w:color w:val="auto"/>
                <w:sz w:val="22"/>
                <w:szCs w:val="22"/>
                <w:highlight w:val="none"/>
              </w:rPr>
              <w:t>不符合第三条中“综合评分法”适用条件及业绩设置标准的，可选用“技术通过制的合理低价法”</w:t>
            </w:r>
            <w:r>
              <w:rPr>
                <w:rFonts w:hint="eastAsia" w:ascii="仿宋_GB2312" w:hAnsi="黑体"/>
                <w:color w:val="auto"/>
                <w:sz w:val="22"/>
                <w:szCs w:val="22"/>
                <w:highlight w:val="none"/>
              </w:rPr>
              <w:t>。</w:t>
            </w:r>
          </w:p>
          <w:p>
            <w:pPr>
              <w:spacing w:line="300" w:lineRule="exact"/>
              <w:ind w:firstLine="428" w:firstLineChars="200"/>
              <w:rPr>
                <w:rFonts w:ascii="仿宋_GB2312" w:hAnsi="黑体"/>
                <w:color w:val="auto"/>
                <w:sz w:val="22"/>
                <w:szCs w:val="22"/>
                <w:highlight w:val="none"/>
              </w:rPr>
            </w:pPr>
            <w:r>
              <w:rPr>
                <w:rFonts w:hint="eastAsia" w:ascii="仿宋_GB2312" w:hAnsi="黑体"/>
                <w:b/>
                <w:bCs/>
                <w:color w:val="auto"/>
                <w:sz w:val="22"/>
                <w:szCs w:val="22"/>
                <w:highlight w:val="none"/>
              </w:rPr>
              <w:t>3.“技术打分制的合理低价法”是评标委员会对满足招标文件实质性要求的投标文件的施工组织设计、主要人员、其他等因素进行评分，按照得分由高到低排序，对排名在招标文件规定数量（一般为8</w:t>
            </w:r>
            <w:r>
              <w:rPr>
                <w:rFonts w:hint="eastAsia" w:ascii="仿宋_GB2312" w:hAnsi="仿宋_GB2312" w:cs="仿宋_GB2312"/>
                <w:b/>
                <w:bCs/>
                <w:color w:val="auto"/>
                <w:sz w:val="22"/>
                <w:szCs w:val="22"/>
                <w:highlight w:val="none"/>
              </w:rPr>
              <w:t>～</w:t>
            </w:r>
            <w:r>
              <w:rPr>
                <w:rFonts w:hint="eastAsia" w:ascii="仿宋_GB2312" w:hAnsi="黑体"/>
                <w:b/>
                <w:bCs/>
                <w:color w:val="auto"/>
                <w:sz w:val="22"/>
                <w:szCs w:val="22"/>
                <w:highlight w:val="none"/>
              </w:rPr>
              <w:t>12名）以内的投标人的第二个信封进行评审，按照第二个信封得分由高到低的顺序推荐中标候选人。具体详见附件2。</w:t>
            </w:r>
          </w:p>
          <w:p>
            <w:pPr>
              <w:spacing w:line="300" w:lineRule="exact"/>
              <w:ind w:firstLine="428" w:firstLineChars="200"/>
              <w:rPr>
                <w:rFonts w:ascii="仿宋_GB2312" w:hAnsi="黑体"/>
                <w:color w:val="auto"/>
                <w:sz w:val="22"/>
                <w:szCs w:val="22"/>
                <w:highlight w:val="none"/>
              </w:rPr>
            </w:pPr>
            <w:r>
              <w:rPr>
                <w:rFonts w:hint="eastAsia" w:ascii="仿宋_GB2312" w:hAnsi="黑体"/>
                <w:color w:val="auto"/>
                <w:sz w:val="22"/>
                <w:szCs w:val="22"/>
                <w:highlight w:val="none"/>
              </w:rPr>
              <w:t>4.</w:t>
            </w:r>
            <w:r>
              <w:rPr>
                <w:rFonts w:hint="eastAsia" w:ascii="仿宋_GB2312" w:hAnsi="黑体"/>
                <w:b/>
                <w:bCs/>
                <w:color w:val="auto"/>
                <w:sz w:val="22"/>
                <w:szCs w:val="22"/>
                <w:highlight w:val="none"/>
              </w:rPr>
              <w:t>“综合评分法”</w:t>
            </w:r>
            <w:r>
              <w:rPr>
                <w:rFonts w:hint="eastAsia" w:ascii="仿宋_GB2312" w:hAnsi="黑体"/>
                <w:color w:val="auto"/>
                <w:sz w:val="22"/>
                <w:szCs w:val="22"/>
                <w:highlight w:val="none"/>
              </w:rPr>
              <w:t>是指对通过初步评审的投标人的评标价、施工组织设计、项目管理机构、技术能力等因素进行评分，按照综合得分由高到低排序，推荐中标候选人的评标方法。技术特别复杂的特大桥梁和长大隧道项目主体工程，符合第三条中“‘综合评分法’适用条件及业绩设置标准”的，</w:t>
            </w:r>
            <w:r>
              <w:rPr>
                <w:rFonts w:hint="eastAsia" w:ascii="仿宋_GB2312" w:hAnsi="黑体"/>
                <w:b/>
                <w:bCs/>
                <w:color w:val="auto"/>
                <w:sz w:val="22"/>
                <w:szCs w:val="22"/>
                <w:highlight w:val="none"/>
              </w:rPr>
              <w:t>可</w:t>
            </w:r>
            <w:r>
              <w:rPr>
                <w:rFonts w:hint="eastAsia" w:ascii="仿宋_GB2312" w:hAnsi="黑体"/>
                <w:color w:val="auto"/>
                <w:sz w:val="22"/>
                <w:szCs w:val="22"/>
                <w:highlight w:val="none"/>
              </w:rPr>
              <w:t>采用综合评分法。</w:t>
            </w:r>
          </w:p>
          <w:p>
            <w:pPr>
              <w:spacing w:line="300" w:lineRule="exact"/>
              <w:ind w:firstLine="428" w:firstLineChars="200"/>
              <w:rPr>
                <w:rFonts w:ascii="仿宋_GB2312" w:hAnsi="黑体"/>
                <w:color w:val="auto"/>
                <w:sz w:val="22"/>
                <w:szCs w:val="22"/>
                <w:highlight w:val="none"/>
              </w:rPr>
            </w:pPr>
            <w:r>
              <w:rPr>
                <w:rFonts w:hint="eastAsia" w:ascii="仿宋_GB2312" w:hAnsi="黑体"/>
                <w:color w:val="auto"/>
                <w:sz w:val="22"/>
                <w:szCs w:val="22"/>
                <w:highlight w:val="none"/>
              </w:rPr>
              <w:t>符合条件并适用“综合评分法”的，</w:t>
            </w:r>
            <w:bookmarkStart w:id="4" w:name="_Hlk83191673"/>
            <w:r>
              <w:rPr>
                <w:rFonts w:hint="eastAsia" w:ascii="仿宋_GB2312" w:hAnsi="黑体"/>
                <w:color w:val="auto"/>
                <w:sz w:val="22"/>
                <w:szCs w:val="22"/>
                <w:highlight w:val="none"/>
              </w:rPr>
              <w:t>由交通运输行业主管部门（或相应招投标监管部门）在招标文件备案表中出具意见</w:t>
            </w:r>
            <w:bookmarkEnd w:id="4"/>
            <w:r>
              <w:rPr>
                <w:rFonts w:hint="eastAsia" w:ascii="仿宋_GB2312" w:hAnsi="黑体"/>
                <w:color w:val="auto"/>
                <w:sz w:val="22"/>
                <w:szCs w:val="22"/>
                <w:highlight w:val="none"/>
              </w:rPr>
              <w:t>。</w:t>
            </w:r>
          </w:p>
          <w:p>
            <w:pPr>
              <w:spacing w:line="300" w:lineRule="exact"/>
              <w:ind w:firstLine="428" w:firstLineChars="200"/>
              <w:rPr>
                <w:rFonts w:ascii="仿宋_GB2312" w:hAnsi="黑体"/>
                <w:color w:val="auto"/>
                <w:sz w:val="22"/>
                <w:szCs w:val="22"/>
                <w:highlight w:val="none"/>
              </w:rPr>
            </w:pPr>
            <w:r>
              <w:rPr>
                <w:rFonts w:hint="eastAsia" w:ascii="仿宋_GB2312" w:hAnsi="黑体"/>
                <w:color w:val="auto"/>
                <w:sz w:val="22"/>
                <w:szCs w:val="22"/>
                <w:highlight w:val="none"/>
              </w:rPr>
              <w:t>5.</w:t>
            </w:r>
            <w:bookmarkStart w:id="5" w:name="_Hlk83191722"/>
            <w:r>
              <w:rPr>
                <w:rFonts w:hint="eastAsia" w:ascii="仿宋_GB2312" w:hAnsi="黑体"/>
                <w:color w:val="auto"/>
                <w:sz w:val="22"/>
                <w:szCs w:val="22"/>
                <w:highlight w:val="none"/>
              </w:rPr>
              <w:t>“经评审的最低投标价法”一般适用于工程规模较小、技术含量较低的工程</w:t>
            </w:r>
            <w:bookmarkEnd w:id="5"/>
            <w:r>
              <w:rPr>
                <w:rFonts w:hint="eastAsia" w:ascii="仿宋_GB2312" w:hAnsi="黑体"/>
                <w:color w:val="auto"/>
                <w:sz w:val="22"/>
                <w:szCs w:val="22"/>
                <w:highlight w:val="none"/>
              </w:rPr>
              <w:t>。</w:t>
            </w:r>
          </w:p>
        </w:tc>
        <w:tc>
          <w:tcPr>
            <w:tcW w:w="2130" w:type="dxa"/>
            <w:shd w:val="clear" w:color="auto" w:fill="auto"/>
            <w:vAlign w:val="center"/>
          </w:tcPr>
          <w:p>
            <w:pPr>
              <w:spacing w:line="300" w:lineRule="exact"/>
              <w:ind w:firstLine="428" w:firstLineChars="200"/>
              <w:rPr>
                <w:rFonts w:ascii="仿宋_GB2312" w:hAnsi="黑体"/>
                <w:color w:val="auto"/>
                <w:sz w:val="22"/>
                <w:szCs w:val="22"/>
                <w:highlight w:val="none"/>
              </w:rPr>
            </w:pPr>
            <w:r>
              <w:rPr>
                <w:rFonts w:hint="eastAsia" w:ascii="仿宋_GB2312" w:hAnsi="黑体"/>
                <w:color w:val="auto"/>
                <w:sz w:val="22"/>
                <w:szCs w:val="22"/>
                <w:highlight w:val="none"/>
              </w:rPr>
              <w:t>落实招标人主体责任。新增“技术打分制的合理低价法”，各类型项目均可选用。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 w:type="dxa"/>
            <w:shd w:val="clear" w:color="auto" w:fill="auto"/>
            <w:vAlign w:val="center"/>
          </w:tcPr>
          <w:p>
            <w:pPr>
              <w:spacing w:line="300" w:lineRule="exact"/>
              <w:jc w:val="center"/>
              <w:rPr>
                <w:rFonts w:ascii="仿宋_GB2312" w:hAnsi="黑体"/>
                <w:color w:val="auto"/>
                <w:sz w:val="22"/>
                <w:szCs w:val="22"/>
                <w:highlight w:val="none"/>
              </w:rPr>
            </w:pPr>
            <w:r>
              <w:rPr>
                <w:rFonts w:hint="eastAsia" w:ascii="仿宋_GB2312" w:hAnsi="黑体"/>
                <w:color w:val="auto"/>
                <w:sz w:val="22"/>
                <w:szCs w:val="22"/>
                <w:highlight w:val="none"/>
              </w:rPr>
              <w:t>5★</w:t>
            </w:r>
          </w:p>
        </w:tc>
        <w:tc>
          <w:tcPr>
            <w:tcW w:w="1326" w:type="dxa"/>
            <w:shd w:val="clear" w:color="auto" w:fill="auto"/>
            <w:vAlign w:val="center"/>
          </w:tcPr>
          <w:p>
            <w:pPr>
              <w:spacing w:line="300" w:lineRule="exact"/>
              <w:rPr>
                <w:rFonts w:ascii="仿宋_GB2312" w:hAnsi="黑体"/>
                <w:color w:val="auto"/>
                <w:sz w:val="22"/>
                <w:szCs w:val="22"/>
                <w:highlight w:val="none"/>
              </w:rPr>
            </w:pPr>
            <w:r>
              <w:rPr>
                <w:rFonts w:hint="eastAsia" w:ascii="仿宋_GB2312" w:hAnsi="黑体"/>
                <w:bCs/>
                <w:color w:val="auto"/>
                <w:sz w:val="22"/>
                <w:szCs w:val="22"/>
                <w:highlight w:val="none"/>
              </w:rPr>
              <w:t>使用指南：四、评标办法部分/（四）评标基准价的计算/B值</w:t>
            </w:r>
          </w:p>
        </w:tc>
        <w:tc>
          <w:tcPr>
            <w:tcW w:w="4912" w:type="dxa"/>
            <w:shd w:val="clear" w:color="auto" w:fill="auto"/>
            <w:vAlign w:val="center"/>
          </w:tcPr>
          <w:p>
            <w:pPr>
              <w:spacing w:line="300" w:lineRule="exact"/>
              <w:ind w:firstLine="428" w:firstLineChars="200"/>
              <w:rPr>
                <w:rFonts w:ascii="仿宋_GB2312" w:hAnsi="黑体"/>
                <w:color w:val="auto"/>
                <w:sz w:val="22"/>
                <w:szCs w:val="22"/>
                <w:highlight w:val="none"/>
              </w:rPr>
            </w:pPr>
            <w:r>
              <w:rPr>
                <w:rFonts w:hint="eastAsia" w:ascii="仿宋_GB2312" w:hAnsi="黑体"/>
                <w:color w:val="auto"/>
                <w:sz w:val="22"/>
                <w:szCs w:val="22"/>
                <w:highlight w:val="none"/>
              </w:rPr>
              <w:t>采用“技术通过制的综合评估法（合理低价法）”和“技术打分制的综合评估法（综合评分法）”时，应设置评标基准价。</w:t>
            </w:r>
          </w:p>
          <w:p>
            <w:pPr>
              <w:spacing w:line="300" w:lineRule="exact"/>
              <w:ind w:firstLine="428" w:firstLineChars="200"/>
              <w:rPr>
                <w:rFonts w:ascii="仿宋_GB2312" w:hAnsi="黑体"/>
                <w:color w:val="auto"/>
                <w:sz w:val="22"/>
                <w:szCs w:val="22"/>
                <w:highlight w:val="none"/>
              </w:rPr>
            </w:pPr>
            <w:r>
              <w:rPr>
                <w:rFonts w:hint="eastAsia" w:ascii="仿宋_GB2312" w:hAnsi="黑体"/>
                <w:color w:val="auto"/>
                <w:sz w:val="22"/>
                <w:szCs w:val="22"/>
                <w:highlight w:val="none"/>
              </w:rPr>
              <w:t>B值：采用“技术通过制的综合评估法（合理低价法）”的，</w:t>
            </w:r>
            <w:r>
              <w:rPr>
                <w:rFonts w:hint="eastAsia" w:ascii="仿宋_GB2312" w:hAnsi="黑体"/>
                <w:b/>
                <w:bCs/>
                <w:color w:val="auto"/>
                <w:sz w:val="22"/>
                <w:szCs w:val="22"/>
                <w:highlight w:val="none"/>
              </w:rPr>
              <w:t>应在开标时从下述两种方案中随机抽取；</w:t>
            </w:r>
            <w:r>
              <w:rPr>
                <w:rFonts w:hint="eastAsia" w:ascii="仿宋_GB2312" w:hAnsi="黑体"/>
                <w:color w:val="auto"/>
                <w:sz w:val="22"/>
                <w:szCs w:val="22"/>
                <w:highlight w:val="none"/>
              </w:rPr>
              <w:t>采用“技术打分制的综合评估法（综合评分法）”的，由招标人在下述两种方案中选取一种，并在招标文件中明确。</w:t>
            </w:r>
          </w:p>
        </w:tc>
        <w:tc>
          <w:tcPr>
            <w:tcW w:w="4907" w:type="dxa"/>
            <w:shd w:val="clear" w:color="auto" w:fill="auto"/>
            <w:vAlign w:val="center"/>
          </w:tcPr>
          <w:p>
            <w:pPr>
              <w:spacing w:line="300" w:lineRule="exact"/>
              <w:ind w:firstLine="428" w:firstLineChars="200"/>
              <w:rPr>
                <w:rFonts w:ascii="仿宋_GB2312" w:hAnsi="黑体"/>
                <w:color w:val="auto"/>
                <w:sz w:val="22"/>
                <w:szCs w:val="22"/>
                <w:highlight w:val="none"/>
              </w:rPr>
            </w:pPr>
            <w:r>
              <w:rPr>
                <w:rFonts w:hint="eastAsia" w:ascii="仿宋_GB2312" w:hAnsi="黑体"/>
                <w:color w:val="auto"/>
                <w:sz w:val="22"/>
                <w:szCs w:val="22"/>
                <w:highlight w:val="none"/>
              </w:rPr>
              <w:t>采用</w:t>
            </w:r>
            <w:r>
              <w:rPr>
                <w:rFonts w:hint="eastAsia" w:ascii="仿宋_GB2312" w:hAnsi="黑体"/>
                <w:b/>
                <w:bCs/>
                <w:color w:val="auto"/>
                <w:sz w:val="22"/>
                <w:szCs w:val="22"/>
                <w:highlight w:val="none"/>
              </w:rPr>
              <w:t>技术通过制的合理低价法、技术打分制的合理低价法和综合评分法</w:t>
            </w:r>
            <w:r>
              <w:rPr>
                <w:rFonts w:hint="eastAsia" w:ascii="仿宋_GB2312" w:hAnsi="黑体"/>
                <w:color w:val="auto"/>
                <w:sz w:val="22"/>
                <w:szCs w:val="22"/>
                <w:highlight w:val="none"/>
              </w:rPr>
              <w:t>时，应设置评标基准价。</w:t>
            </w:r>
          </w:p>
          <w:p>
            <w:pPr>
              <w:spacing w:line="300" w:lineRule="exact"/>
              <w:ind w:firstLine="428" w:firstLineChars="200"/>
              <w:rPr>
                <w:rFonts w:ascii="仿宋_GB2312" w:hAnsi="黑体"/>
                <w:color w:val="auto"/>
                <w:sz w:val="22"/>
                <w:szCs w:val="22"/>
                <w:highlight w:val="none"/>
              </w:rPr>
            </w:pPr>
            <w:r>
              <w:rPr>
                <w:rFonts w:hint="eastAsia" w:ascii="仿宋_GB2312" w:hAnsi="黑体"/>
                <w:color w:val="auto"/>
                <w:sz w:val="22"/>
                <w:szCs w:val="22"/>
                <w:highlight w:val="none"/>
              </w:rPr>
              <w:t>B值：</w:t>
            </w:r>
            <w:r>
              <w:rPr>
                <w:rFonts w:hint="eastAsia" w:ascii="仿宋_GB2312" w:hAnsi="黑体"/>
                <w:b/>
                <w:color w:val="auto"/>
                <w:sz w:val="22"/>
                <w:szCs w:val="22"/>
                <w:highlight w:val="none"/>
              </w:rPr>
              <w:t>采用“技术通过制的合理低价法”的，应采用方案一；</w:t>
            </w:r>
            <w:r>
              <w:rPr>
                <w:rFonts w:hint="eastAsia" w:ascii="仿宋_GB2312" w:hAnsi="黑体"/>
                <w:bCs/>
                <w:color w:val="auto"/>
                <w:sz w:val="22"/>
                <w:szCs w:val="22"/>
                <w:highlight w:val="none"/>
              </w:rPr>
              <w:t>采用</w:t>
            </w:r>
            <w:r>
              <w:rPr>
                <w:rFonts w:hint="eastAsia" w:ascii="仿宋_GB2312" w:hAnsi="黑体"/>
                <w:b/>
                <w:color w:val="auto"/>
                <w:sz w:val="22"/>
                <w:szCs w:val="22"/>
                <w:highlight w:val="none"/>
              </w:rPr>
              <w:t>“综合评分法”</w:t>
            </w:r>
            <w:r>
              <w:rPr>
                <w:rFonts w:hint="eastAsia" w:ascii="仿宋_GB2312" w:hAnsi="黑体"/>
                <w:bCs/>
                <w:color w:val="auto"/>
                <w:sz w:val="22"/>
                <w:szCs w:val="22"/>
                <w:highlight w:val="none"/>
              </w:rPr>
              <w:t>的，由招标人在下述方案一和方案二中选取一种，并在招标文件中明确；</w:t>
            </w:r>
            <w:r>
              <w:rPr>
                <w:rFonts w:hint="eastAsia" w:ascii="仿宋_GB2312" w:hAnsi="黑体"/>
                <w:b/>
                <w:color w:val="auto"/>
                <w:sz w:val="22"/>
                <w:szCs w:val="22"/>
                <w:highlight w:val="none"/>
              </w:rPr>
              <w:t>采用“技术打分制的合理低价法”的，应采用方案三</w:t>
            </w:r>
            <w:r>
              <w:rPr>
                <w:rFonts w:hint="eastAsia" w:ascii="仿宋_GB2312" w:hAnsi="黑体"/>
                <w:color w:val="auto"/>
                <w:sz w:val="22"/>
                <w:szCs w:val="22"/>
                <w:highlight w:val="none"/>
              </w:rPr>
              <w:t>。</w:t>
            </w:r>
          </w:p>
          <w:p>
            <w:pPr>
              <w:spacing w:line="300" w:lineRule="exact"/>
              <w:ind w:firstLine="428" w:firstLineChars="200"/>
              <w:rPr>
                <w:rFonts w:ascii="仿宋_GB2312" w:hAnsi="黑体"/>
                <w:b/>
                <w:bCs/>
                <w:color w:val="auto"/>
                <w:sz w:val="22"/>
                <w:szCs w:val="22"/>
                <w:highlight w:val="none"/>
              </w:rPr>
            </w:pPr>
            <w:r>
              <w:rPr>
                <w:rFonts w:hint="eastAsia" w:ascii="仿宋_GB2312" w:hAnsi="黑体"/>
                <w:b/>
                <w:bCs/>
                <w:color w:val="auto"/>
                <w:sz w:val="22"/>
                <w:szCs w:val="22"/>
                <w:highlight w:val="none"/>
              </w:rPr>
              <w:t>3、B值计算方案三：</w:t>
            </w:r>
          </w:p>
          <w:p>
            <w:pPr>
              <w:spacing w:line="300" w:lineRule="exact"/>
              <w:ind w:firstLine="428" w:firstLineChars="200"/>
              <w:rPr>
                <w:rFonts w:ascii="仿宋_GB2312" w:hAnsi="黑体"/>
                <w:color w:val="auto"/>
                <w:sz w:val="22"/>
                <w:szCs w:val="22"/>
                <w:highlight w:val="none"/>
              </w:rPr>
            </w:pPr>
            <w:r>
              <w:rPr>
                <w:rFonts w:hint="eastAsia" w:ascii="仿宋_GB2312" w:hAnsi="黑体"/>
                <w:b/>
                <w:bCs/>
                <w:color w:val="auto"/>
                <w:sz w:val="22"/>
                <w:szCs w:val="22"/>
                <w:highlight w:val="none"/>
              </w:rPr>
              <w:t>第一个信封得分由高到低排</w:t>
            </w:r>
            <w:r>
              <w:rPr>
                <w:rFonts w:hint="eastAsia" w:ascii="仿宋_GB2312" w:hAnsi="黑体"/>
                <w:b/>
                <w:bCs/>
                <w:color w:val="auto"/>
                <w:sz w:val="22"/>
                <w:szCs w:val="22"/>
                <w:highlight w:val="none"/>
                <w:lang w:eastAsia="zh-CN"/>
              </w:rPr>
              <w:t>名</w:t>
            </w:r>
            <w:r>
              <w:rPr>
                <w:rFonts w:hint="eastAsia" w:ascii="仿宋_GB2312" w:hAnsi="黑体"/>
                <w:b/>
                <w:bCs/>
                <w:color w:val="auto"/>
                <w:sz w:val="22"/>
                <w:szCs w:val="22"/>
                <w:highlight w:val="none"/>
              </w:rPr>
              <w:t>在招标文件规定数量内，且通过第二个信封初步评审的投标人评标价，去掉一个最高值和一个最低值后的算术平均值（如果参与评标价平均值计算的有效投标人少于5家，则计算评标价平均值时不去掉最高值和最低值）。</w:t>
            </w:r>
          </w:p>
        </w:tc>
        <w:tc>
          <w:tcPr>
            <w:tcW w:w="2130" w:type="dxa"/>
            <w:shd w:val="clear" w:color="auto" w:fill="auto"/>
            <w:vAlign w:val="center"/>
          </w:tcPr>
          <w:p>
            <w:pPr>
              <w:snapToGrid w:val="0"/>
              <w:spacing w:line="300" w:lineRule="exact"/>
              <w:rPr>
                <w:rFonts w:ascii="仿宋_GB2312" w:hAnsi="黑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644" w:type="dxa"/>
            <w:shd w:val="clear" w:color="auto" w:fill="auto"/>
            <w:vAlign w:val="center"/>
          </w:tcPr>
          <w:p>
            <w:pPr>
              <w:spacing w:line="300" w:lineRule="exact"/>
              <w:jc w:val="center"/>
              <w:rPr>
                <w:rFonts w:ascii="仿宋_GB2312" w:hAnsi="黑体"/>
                <w:color w:val="auto"/>
                <w:sz w:val="22"/>
                <w:szCs w:val="22"/>
                <w:highlight w:val="none"/>
              </w:rPr>
            </w:pPr>
            <w:r>
              <w:rPr>
                <w:rFonts w:hint="eastAsia" w:ascii="仿宋_GB2312" w:hAnsi="黑体"/>
                <w:color w:val="auto"/>
                <w:sz w:val="22"/>
                <w:szCs w:val="22"/>
                <w:highlight w:val="none"/>
              </w:rPr>
              <w:t>6</w:t>
            </w:r>
          </w:p>
        </w:tc>
        <w:tc>
          <w:tcPr>
            <w:tcW w:w="1326" w:type="dxa"/>
            <w:shd w:val="clear" w:color="auto" w:fill="auto"/>
            <w:vAlign w:val="center"/>
          </w:tcPr>
          <w:p>
            <w:pPr>
              <w:pStyle w:val="2"/>
              <w:spacing w:line="300" w:lineRule="exact"/>
              <w:jc w:val="left"/>
              <w:rPr>
                <w:rFonts w:ascii="仿宋_GB2312" w:hAnsi="黑体" w:eastAsia="仿宋_GB2312"/>
                <w:b w:val="0"/>
                <w:bCs w:val="0"/>
                <w:color w:val="auto"/>
                <w:kern w:val="2"/>
                <w:sz w:val="22"/>
                <w:szCs w:val="22"/>
                <w:highlight w:val="none"/>
                <w:lang w:val="en-US"/>
              </w:rPr>
            </w:pPr>
            <w:r>
              <w:rPr>
                <w:rFonts w:hint="eastAsia" w:ascii="仿宋_GB2312" w:hAnsi="仿宋" w:eastAsia="仿宋_GB2312"/>
                <w:b w:val="0"/>
                <w:bCs w:val="0"/>
                <w:color w:val="auto"/>
                <w:sz w:val="22"/>
                <w:szCs w:val="22"/>
                <w:highlight w:val="none"/>
              </w:rPr>
              <w:t>第一章 招标公告3．投标人资格要求3.3点</w:t>
            </w:r>
          </w:p>
        </w:tc>
        <w:tc>
          <w:tcPr>
            <w:tcW w:w="4912" w:type="dxa"/>
            <w:shd w:val="clear" w:color="auto" w:fill="auto"/>
            <w:vAlign w:val="center"/>
          </w:tcPr>
          <w:p>
            <w:pPr>
              <w:rPr>
                <w:rFonts w:ascii="仿宋_GB2312" w:hAnsi="仿宋"/>
                <w:color w:val="auto"/>
                <w:sz w:val="22"/>
                <w:szCs w:val="22"/>
                <w:highlight w:val="none"/>
              </w:rPr>
            </w:pPr>
            <w:r>
              <w:rPr>
                <w:rFonts w:hint="eastAsia" w:ascii="仿宋_GB2312" w:hAnsi="仿宋"/>
                <w:color w:val="auto"/>
                <w:sz w:val="22"/>
                <w:szCs w:val="22"/>
                <w:highlight w:val="none"/>
              </w:rPr>
              <w:t>3.3 投标人可参加1个标段的投标。</w:t>
            </w:r>
          </w:p>
          <w:p>
            <w:pPr>
              <w:spacing w:line="300" w:lineRule="exact"/>
              <w:jc w:val="left"/>
              <w:rPr>
                <w:rFonts w:ascii="仿宋_GB2312" w:hAnsi="黑体"/>
                <w:color w:val="auto"/>
                <w:sz w:val="22"/>
                <w:szCs w:val="22"/>
                <w:highlight w:val="none"/>
              </w:rPr>
            </w:pPr>
            <w:r>
              <w:rPr>
                <w:rFonts w:hint="eastAsia" w:ascii="仿宋_GB2312" w:hAnsi="仿宋"/>
                <w:color w:val="auto"/>
                <w:sz w:val="22"/>
                <w:szCs w:val="22"/>
                <w:highlight w:val="none"/>
              </w:rPr>
              <w:t>①土建、交安、机电多个标段同时招标时适用。在《浙江省公路水运建设工程从业主体信用评价管理细则》施行且发布首次信用评价结果后，本条修改为：根据浙江省交通运输厅公布的信用评价结果（以投标截止时间有效的信用评价结果为准），投标截止日当期及上一期均为AA级信用等级的投标人，最多可参加2个标段的投标（最多只能中1个标段），其它企业可参加1个标段的投标，否则相关投标均无效。</w:t>
            </w:r>
          </w:p>
        </w:tc>
        <w:tc>
          <w:tcPr>
            <w:tcW w:w="4907" w:type="dxa"/>
            <w:shd w:val="clear" w:color="auto" w:fill="auto"/>
            <w:vAlign w:val="center"/>
          </w:tcPr>
          <w:p>
            <w:pPr>
              <w:rPr>
                <w:rFonts w:ascii="仿宋_GB2312" w:hAnsi="仿宋"/>
                <w:color w:val="auto"/>
                <w:sz w:val="22"/>
                <w:szCs w:val="22"/>
                <w:highlight w:val="none"/>
              </w:rPr>
            </w:pPr>
            <w:r>
              <w:rPr>
                <w:rFonts w:hint="eastAsia" w:ascii="仿宋_GB2312" w:hAnsi="仿宋"/>
                <w:color w:val="auto"/>
                <w:sz w:val="22"/>
                <w:szCs w:val="22"/>
                <w:highlight w:val="none"/>
              </w:rPr>
              <w:sym w:font="Wingdings 2" w:char="00A3"/>
            </w:r>
            <w:r>
              <w:rPr>
                <w:rFonts w:hint="eastAsia" w:ascii="仿宋_GB2312" w:hAnsi="仿宋"/>
                <w:color w:val="auto"/>
                <w:sz w:val="22"/>
                <w:szCs w:val="22"/>
                <w:highlight w:val="none"/>
              </w:rPr>
              <w:t>3.3 投标人可参加1个标段的投标。</w:t>
            </w:r>
          </w:p>
          <w:p>
            <w:pPr>
              <w:spacing w:line="300" w:lineRule="exact"/>
              <w:jc w:val="left"/>
              <w:rPr>
                <w:rFonts w:ascii="仿宋_GB2312" w:hAnsi="黑体"/>
                <w:color w:val="auto"/>
                <w:sz w:val="22"/>
                <w:szCs w:val="22"/>
                <w:highlight w:val="none"/>
              </w:rPr>
            </w:pPr>
            <w:r>
              <w:rPr>
                <w:rFonts w:hint="eastAsia" w:ascii="仿宋_GB2312" w:hAnsi="仿宋"/>
                <w:color w:val="auto"/>
                <w:sz w:val="22"/>
                <w:szCs w:val="22"/>
                <w:highlight w:val="none"/>
              </w:rPr>
              <w:t>①土建、交安、机电多个标段同时招标时适用。在《浙江省公路水运建设工程从业主体信用评价管理细则》施行且发布首次信用评价结果后，本条修改为：根据浙江省交通运输厅公布的信用评价结果（以投标截止时间有效的信用评价结果为准），投标截止日当期及上一期均为AA级信用等级的投标人，最多可参加2个标段的投标（最多只能中1个标段），其它企业可参加1个标段的投标，否则相关投标均无效。</w:t>
            </w:r>
            <w:r>
              <w:rPr>
                <w:rFonts w:hint="eastAsia" w:ascii="仿宋_GB2312" w:hAnsi="仿宋"/>
                <w:b/>
                <w:bCs/>
                <w:color w:val="auto"/>
                <w:sz w:val="22"/>
                <w:szCs w:val="22"/>
                <w:highlight w:val="none"/>
              </w:rPr>
              <w:t>与信用等级相关联的企业资质应与招标资格审查条件（资质最低要求）相适应。</w:t>
            </w:r>
          </w:p>
        </w:tc>
        <w:tc>
          <w:tcPr>
            <w:tcW w:w="2130" w:type="dxa"/>
            <w:shd w:val="clear" w:color="auto" w:fill="auto"/>
            <w:vAlign w:val="center"/>
          </w:tcPr>
          <w:p>
            <w:pPr>
              <w:pStyle w:val="11"/>
              <w:shd w:val="clear" w:color="auto" w:fill="FFFFFF"/>
              <w:spacing w:before="0" w:beforeAutospacing="0" w:after="0" w:afterAutospacing="0" w:line="300" w:lineRule="exact"/>
              <w:rPr>
                <w:rFonts w:ascii="仿宋_GB2312" w:hAnsi="黑体" w:eastAsia="仿宋_GB2312" w:cs="Times New Roman"/>
                <w:color w:val="auto"/>
                <w:kern w:val="2"/>
                <w:sz w:val="22"/>
                <w:szCs w:val="22"/>
                <w:highlight w:val="none"/>
              </w:rPr>
            </w:pPr>
            <w:r>
              <w:rPr>
                <w:rFonts w:hint="eastAsia" w:ascii="仿宋_GB2312" w:hAnsi="仿宋" w:eastAsia="仿宋_GB2312"/>
                <w:color w:val="auto"/>
                <w:sz w:val="22"/>
                <w:szCs w:val="22"/>
                <w:highlight w:val="none"/>
              </w:rPr>
              <w:t>进一步明确与信用等级相关联的企业资质应与招标资格审查条件（资质最低要求）相适应。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644" w:type="dxa"/>
            <w:shd w:val="clear" w:color="auto" w:fill="auto"/>
            <w:vAlign w:val="center"/>
          </w:tcPr>
          <w:p>
            <w:pPr>
              <w:spacing w:line="300" w:lineRule="exact"/>
              <w:jc w:val="center"/>
              <w:rPr>
                <w:rFonts w:ascii="仿宋_GB2312" w:hAnsi="黑体"/>
                <w:color w:val="auto"/>
                <w:sz w:val="22"/>
                <w:szCs w:val="22"/>
                <w:highlight w:val="none"/>
              </w:rPr>
            </w:pPr>
            <w:r>
              <w:rPr>
                <w:rFonts w:hint="eastAsia" w:ascii="仿宋_GB2312" w:hAnsi="黑体"/>
                <w:color w:val="auto"/>
                <w:sz w:val="22"/>
                <w:szCs w:val="22"/>
                <w:highlight w:val="none"/>
              </w:rPr>
              <w:t>7</w:t>
            </w:r>
          </w:p>
        </w:tc>
        <w:tc>
          <w:tcPr>
            <w:tcW w:w="1326" w:type="dxa"/>
            <w:shd w:val="clear" w:color="auto" w:fill="auto"/>
            <w:vAlign w:val="center"/>
          </w:tcPr>
          <w:p>
            <w:pPr>
              <w:spacing w:line="300" w:lineRule="exact"/>
              <w:jc w:val="left"/>
              <w:rPr>
                <w:rFonts w:ascii="仿宋_GB2312" w:hAnsi="仿宋"/>
                <w:color w:val="auto"/>
                <w:sz w:val="22"/>
                <w:szCs w:val="22"/>
                <w:highlight w:val="none"/>
              </w:rPr>
            </w:pPr>
            <w:r>
              <w:rPr>
                <w:rFonts w:hint="eastAsia" w:ascii="仿宋_GB2312" w:hAnsi="仿宋"/>
                <w:color w:val="auto"/>
                <w:sz w:val="22"/>
                <w:szCs w:val="22"/>
                <w:highlight w:val="none"/>
              </w:rPr>
              <w:t>第二章 投标人须知前附表第1.3.4项</w:t>
            </w:r>
          </w:p>
        </w:tc>
        <w:tc>
          <w:tcPr>
            <w:tcW w:w="4912" w:type="dxa"/>
            <w:shd w:val="clear" w:color="auto" w:fill="auto"/>
            <w:vAlign w:val="center"/>
          </w:tcPr>
          <w:p>
            <w:pPr>
              <w:spacing w:line="300" w:lineRule="exact"/>
              <w:jc w:val="left"/>
              <w:rPr>
                <w:rFonts w:ascii="仿宋_GB2312" w:hAnsi="仿宋"/>
                <w:color w:val="auto"/>
                <w:sz w:val="22"/>
                <w:szCs w:val="22"/>
                <w:highlight w:val="none"/>
              </w:rPr>
            </w:pPr>
            <w:r>
              <w:rPr>
                <w:rFonts w:hint="eastAsia" w:ascii="仿宋_GB2312" w:hAnsi="仿宋"/>
                <w:color w:val="auto"/>
                <w:sz w:val="22"/>
                <w:szCs w:val="22"/>
                <w:highlight w:val="none"/>
              </w:rPr>
              <w:t>不发生较大及以上生产安全责任事故。</w:t>
            </w:r>
          </w:p>
        </w:tc>
        <w:tc>
          <w:tcPr>
            <w:tcW w:w="4907" w:type="dxa"/>
            <w:shd w:val="clear" w:color="auto" w:fill="auto"/>
            <w:vAlign w:val="center"/>
          </w:tcPr>
          <w:p>
            <w:pPr>
              <w:spacing w:line="300" w:lineRule="exact"/>
              <w:ind w:firstLine="428" w:firstLineChars="200"/>
              <w:jc w:val="left"/>
              <w:rPr>
                <w:rFonts w:ascii="仿宋_GB2312" w:hAnsi="黑体"/>
                <w:color w:val="auto"/>
                <w:sz w:val="22"/>
                <w:szCs w:val="22"/>
                <w:highlight w:val="none"/>
              </w:rPr>
            </w:pPr>
            <w:r>
              <w:rPr>
                <w:rFonts w:hint="eastAsia" w:ascii="仿宋_GB2312" w:hAnsi="仿宋"/>
                <w:color w:val="auto"/>
                <w:sz w:val="22"/>
                <w:szCs w:val="22"/>
                <w:highlight w:val="none"/>
              </w:rPr>
              <w:t>不发生较大及以上生产安全责任事故</w:t>
            </w:r>
            <w:r>
              <w:rPr>
                <w:rFonts w:hint="eastAsia" w:ascii="仿宋_GB2312" w:hAnsi="仿宋"/>
                <w:bCs/>
                <w:color w:val="auto"/>
                <w:sz w:val="22"/>
                <w:szCs w:val="22"/>
                <w:highlight w:val="none"/>
                <w:u w:val="single"/>
              </w:rPr>
              <w:t>，人员零死亡。</w:t>
            </w:r>
          </w:p>
        </w:tc>
        <w:tc>
          <w:tcPr>
            <w:tcW w:w="2130" w:type="dxa"/>
            <w:shd w:val="clear" w:color="auto" w:fill="auto"/>
            <w:vAlign w:val="center"/>
          </w:tcPr>
          <w:p>
            <w:pPr>
              <w:pStyle w:val="11"/>
              <w:shd w:val="clear" w:color="auto" w:fill="FFFFFF"/>
              <w:spacing w:before="0" w:beforeAutospacing="0" w:after="150" w:afterAutospacing="0" w:line="300" w:lineRule="exact"/>
              <w:jc w:val="center"/>
              <w:rPr>
                <w:rFonts w:ascii="仿宋_GB2312" w:hAnsi="黑体" w:eastAsia="仿宋_GB2312" w:cs="Times New Roman"/>
                <w:color w:val="auto"/>
                <w:kern w:val="2"/>
                <w:sz w:val="22"/>
                <w:szCs w:val="22"/>
                <w:highlight w:val="none"/>
              </w:rPr>
            </w:pPr>
            <w:r>
              <w:rPr>
                <w:rFonts w:hint="eastAsia" w:ascii="仿宋_GB2312" w:hAnsi="仿宋" w:eastAsia="仿宋_GB2312" w:cs="仿宋"/>
                <w:color w:val="auto"/>
                <w:kern w:val="2"/>
                <w:sz w:val="22"/>
                <w:szCs w:val="22"/>
                <w:highlight w:val="none"/>
              </w:rPr>
              <w:t>交通运输部办公厅关于印发公路水运工程施工安全治理能力提升行动方案的通知（交办安监函〔2023〕698号）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644" w:type="dxa"/>
            <w:shd w:val="clear" w:color="auto" w:fill="auto"/>
            <w:vAlign w:val="center"/>
          </w:tcPr>
          <w:p>
            <w:pPr>
              <w:spacing w:line="300" w:lineRule="exact"/>
              <w:jc w:val="center"/>
              <w:rPr>
                <w:rFonts w:ascii="仿宋_GB2312" w:hAnsi="黑体"/>
                <w:color w:val="auto"/>
                <w:sz w:val="22"/>
                <w:szCs w:val="22"/>
                <w:highlight w:val="none"/>
              </w:rPr>
            </w:pPr>
            <w:r>
              <w:rPr>
                <w:rFonts w:hint="eastAsia" w:ascii="仿宋_GB2312" w:hAnsi="黑体"/>
                <w:color w:val="auto"/>
                <w:sz w:val="22"/>
                <w:szCs w:val="22"/>
                <w:highlight w:val="none"/>
              </w:rPr>
              <w:t>8★</w:t>
            </w:r>
          </w:p>
        </w:tc>
        <w:tc>
          <w:tcPr>
            <w:tcW w:w="1326" w:type="dxa"/>
            <w:shd w:val="clear" w:color="auto" w:fill="auto"/>
            <w:vAlign w:val="center"/>
          </w:tcPr>
          <w:p>
            <w:pPr>
              <w:spacing w:line="300" w:lineRule="exact"/>
              <w:ind w:left="107" w:hanging="107" w:hangingChars="50"/>
              <w:jc w:val="left"/>
              <w:rPr>
                <w:rFonts w:ascii="仿宋_GB2312" w:hAnsi="黑体"/>
                <w:color w:val="auto"/>
                <w:sz w:val="22"/>
                <w:szCs w:val="22"/>
                <w:highlight w:val="none"/>
              </w:rPr>
            </w:pPr>
            <w:r>
              <w:rPr>
                <w:rFonts w:hint="eastAsia" w:ascii="仿宋_GB2312" w:hAnsi="黑体"/>
                <w:color w:val="auto"/>
                <w:sz w:val="22"/>
                <w:szCs w:val="22"/>
                <w:highlight w:val="none"/>
              </w:rPr>
              <w:t xml:space="preserve">第二章投标人须知前附表第3.5.3项 </w:t>
            </w:r>
          </w:p>
        </w:tc>
        <w:tc>
          <w:tcPr>
            <w:tcW w:w="4912" w:type="dxa"/>
            <w:shd w:val="clear" w:color="auto" w:fill="auto"/>
            <w:vAlign w:val="center"/>
          </w:tcPr>
          <w:p>
            <w:pPr>
              <w:spacing w:line="360" w:lineRule="exact"/>
              <w:ind w:firstLine="428" w:firstLineChars="200"/>
              <w:rPr>
                <w:rFonts w:ascii="仿宋_GB2312"/>
                <w:strike/>
                <w:color w:val="auto"/>
                <w:sz w:val="22"/>
                <w:szCs w:val="22"/>
                <w:highlight w:val="none"/>
              </w:rPr>
            </w:pPr>
            <w:r>
              <w:rPr>
                <w:rFonts w:hint="eastAsia" w:ascii="仿宋_GB2312"/>
                <w:color w:val="auto"/>
                <w:sz w:val="22"/>
                <w:szCs w:val="22"/>
                <w:highlight w:val="none"/>
              </w:rPr>
              <w:t>年份：自____年____月1日以来</w:t>
            </w:r>
          </w:p>
          <w:p>
            <w:pPr>
              <w:spacing w:line="360" w:lineRule="exact"/>
              <w:ind w:firstLine="428" w:firstLineChars="200"/>
              <w:rPr>
                <w:rFonts w:ascii="仿宋_GB2312"/>
                <w:color w:val="auto"/>
                <w:sz w:val="22"/>
                <w:szCs w:val="22"/>
                <w:highlight w:val="none"/>
              </w:rPr>
            </w:pPr>
            <w:r>
              <w:rPr>
                <w:rFonts w:hint="eastAsia" w:ascii="仿宋_GB2312"/>
                <w:color w:val="auto"/>
                <w:sz w:val="22"/>
                <w:szCs w:val="22"/>
                <w:highlight w:val="none"/>
              </w:rPr>
              <w:t>“近年完成的类似项目情况表”应附：</w:t>
            </w:r>
          </w:p>
          <w:p>
            <w:pPr>
              <w:spacing w:line="360" w:lineRule="exact"/>
              <w:ind w:firstLine="428" w:firstLineChars="200"/>
              <w:rPr>
                <w:rFonts w:ascii="仿宋_GB2312"/>
                <w:color w:val="auto"/>
                <w:sz w:val="22"/>
                <w:szCs w:val="22"/>
                <w:highlight w:val="none"/>
              </w:rPr>
            </w:pPr>
            <w:r>
              <w:rPr>
                <w:rFonts w:hint="eastAsia" w:ascii="仿宋_GB2312"/>
                <w:color w:val="auto"/>
                <w:sz w:val="22"/>
                <w:szCs w:val="22"/>
                <w:highlight w:val="none"/>
              </w:rPr>
              <w:t>（1）从“浙江省交通运输信用综合管理服务系统”中打印的含有系统水印的《主要业绩信息一览表》；</w:t>
            </w:r>
            <w:r>
              <w:rPr>
                <w:rFonts w:hint="eastAsia" w:ascii="仿宋_GB2312"/>
                <w:b/>
                <w:bCs/>
                <w:color w:val="auto"/>
                <w:sz w:val="22"/>
                <w:szCs w:val="22"/>
                <w:highlight w:val="none"/>
              </w:rPr>
              <w:t>（2）中标通知书复印件；（3）合同协议书复印件；（4）质量证明文件（由发包人出具的公路工程（标段）交工验收证书或竣工验收委员会出具的公路工程竣工验收鉴定书或质量监督机构对各参建单位签发的工作综合评价等级证书）的复印件。</w:t>
            </w:r>
          </w:p>
          <w:p>
            <w:pPr>
              <w:spacing w:line="360" w:lineRule="exact"/>
              <w:ind w:firstLine="428" w:firstLineChars="200"/>
              <w:rPr>
                <w:rFonts w:ascii="仿宋_GB2312"/>
                <w:color w:val="auto"/>
                <w:sz w:val="22"/>
                <w:szCs w:val="22"/>
                <w:highlight w:val="none"/>
              </w:rPr>
            </w:pPr>
            <w:r>
              <w:rPr>
                <w:rFonts w:hint="eastAsia" w:ascii="仿宋_GB2312"/>
                <w:color w:val="auto"/>
                <w:sz w:val="22"/>
                <w:szCs w:val="22"/>
                <w:highlight w:val="none"/>
              </w:rPr>
              <w:t>房建等附属设施招标时可不提供《主要业绩信息一览表》。</w:t>
            </w:r>
          </w:p>
          <w:p>
            <w:pPr>
              <w:spacing w:line="360" w:lineRule="exact"/>
              <w:ind w:firstLine="428" w:firstLineChars="200"/>
              <w:rPr>
                <w:rFonts w:ascii="仿宋_GB2312"/>
                <w:b/>
                <w:bCs/>
                <w:color w:val="auto"/>
                <w:sz w:val="22"/>
                <w:szCs w:val="22"/>
                <w:highlight w:val="none"/>
              </w:rPr>
            </w:pPr>
            <w:r>
              <w:rPr>
                <w:rFonts w:hint="eastAsia" w:ascii="仿宋_GB2312"/>
                <w:b/>
                <w:bCs/>
                <w:color w:val="auto"/>
                <w:sz w:val="22"/>
                <w:szCs w:val="22"/>
                <w:highlight w:val="none"/>
              </w:rPr>
              <w:t>投标人提供的任一项类似项目《主要业绩信息一览表》中涉及本次招标资格审核与加分的相关信息与投标文件所附的业绩证明材料不一致的（投标人须知1.12.3（4）目规定的细微偏差除外），资格审查不予通过或不予加分，并报相应交通运输主管部门按有关规定进行处理。</w:t>
            </w:r>
          </w:p>
          <w:p>
            <w:pPr>
              <w:spacing w:line="360" w:lineRule="exact"/>
              <w:ind w:firstLine="428" w:firstLineChars="200"/>
              <w:rPr>
                <w:rFonts w:ascii="仿宋_GB2312"/>
                <w:color w:val="auto"/>
                <w:sz w:val="22"/>
                <w:szCs w:val="22"/>
                <w:highlight w:val="none"/>
              </w:rPr>
            </w:pPr>
            <w:r>
              <w:rPr>
                <w:rFonts w:hint="eastAsia" w:ascii="仿宋_GB2312"/>
                <w:color w:val="auto"/>
                <w:sz w:val="22"/>
                <w:szCs w:val="22"/>
                <w:highlight w:val="none"/>
              </w:rPr>
              <w:t>《主要业绩信息一览表》中未体现资格审查或加分相关信息的，以所附证明材料为准。</w:t>
            </w:r>
          </w:p>
          <w:p>
            <w:pPr>
              <w:spacing w:line="360" w:lineRule="exact"/>
              <w:ind w:firstLine="428" w:firstLineChars="200"/>
              <w:rPr>
                <w:rFonts w:ascii="仿宋_GB2312"/>
                <w:color w:val="auto"/>
                <w:sz w:val="22"/>
                <w:szCs w:val="22"/>
                <w:highlight w:val="none"/>
              </w:rPr>
            </w:pPr>
            <w:r>
              <w:rPr>
                <w:rFonts w:hint="eastAsia" w:ascii="仿宋_GB2312"/>
                <w:color w:val="auto"/>
                <w:sz w:val="22"/>
                <w:szCs w:val="22"/>
                <w:highlight w:val="none"/>
              </w:rPr>
              <w:t>工程规模解释顺序为：质量证明文件、合同协议书、中标通知书；如上述资料中均未体现工程规模、技术标准、主要工程内容的，必须附项目发包人或项目质量监督部门或项目所在地设区市行业主管部门出具的证明材料，否则业绩不予认可。</w:t>
            </w:r>
          </w:p>
          <w:p>
            <w:pPr>
              <w:spacing w:line="360" w:lineRule="exact"/>
              <w:ind w:firstLine="428" w:firstLineChars="200"/>
              <w:rPr>
                <w:rFonts w:ascii="仿宋_GB2312"/>
                <w:color w:val="auto"/>
                <w:sz w:val="22"/>
                <w:szCs w:val="22"/>
                <w:highlight w:val="none"/>
              </w:rPr>
            </w:pPr>
            <w:r>
              <w:rPr>
                <w:rFonts w:hint="eastAsia" w:ascii="仿宋_GB2312"/>
                <w:color w:val="auto"/>
                <w:sz w:val="22"/>
                <w:szCs w:val="22"/>
                <w:highlight w:val="none"/>
              </w:rPr>
              <w:t>上述资料中的施工单位名称与投标人名称必须一致，否则业绩不予认可。以下情形除外：</w:t>
            </w:r>
          </w:p>
          <w:p>
            <w:pPr>
              <w:spacing w:line="360" w:lineRule="exact"/>
              <w:ind w:firstLine="428" w:firstLineChars="200"/>
              <w:rPr>
                <w:rFonts w:ascii="仿宋_GB2312"/>
                <w:color w:val="auto"/>
                <w:sz w:val="22"/>
                <w:szCs w:val="22"/>
                <w:highlight w:val="none"/>
              </w:rPr>
            </w:pPr>
            <w:r>
              <w:rPr>
                <w:rFonts w:hint="eastAsia" w:ascii="仿宋_GB2312"/>
                <w:color w:val="auto"/>
                <w:sz w:val="22"/>
                <w:szCs w:val="22"/>
                <w:highlight w:val="none"/>
              </w:rPr>
              <w:t>（1）施工单位名称发生变更的，但需提供法定部门的批准材料。</w:t>
            </w:r>
          </w:p>
          <w:p>
            <w:pPr>
              <w:spacing w:line="360" w:lineRule="exact"/>
              <w:ind w:firstLine="428" w:firstLineChars="200"/>
              <w:rPr>
                <w:rFonts w:ascii="仿宋_GB2312" w:hAnsi="黑体"/>
                <w:color w:val="auto"/>
                <w:sz w:val="22"/>
                <w:szCs w:val="22"/>
                <w:highlight w:val="none"/>
              </w:rPr>
            </w:pPr>
            <w:r>
              <w:rPr>
                <w:rFonts w:hint="eastAsia" w:ascii="仿宋_GB2312"/>
                <w:color w:val="auto"/>
                <w:sz w:val="22"/>
                <w:szCs w:val="22"/>
                <w:highlight w:val="none"/>
              </w:rPr>
              <w:t>（2） ___________（招标人认可的其他情形，应在招标文件中对相关业绩的认定标准和证明材料作出明确规定）。</w:t>
            </w:r>
          </w:p>
        </w:tc>
        <w:tc>
          <w:tcPr>
            <w:tcW w:w="4907" w:type="dxa"/>
            <w:shd w:val="clear" w:color="auto" w:fill="auto"/>
            <w:vAlign w:val="center"/>
          </w:tcPr>
          <w:p>
            <w:pPr>
              <w:spacing w:line="360" w:lineRule="exact"/>
              <w:ind w:firstLine="428" w:firstLineChars="200"/>
              <w:rPr>
                <w:rFonts w:ascii="仿宋_GB2312"/>
                <w:color w:val="auto"/>
                <w:sz w:val="22"/>
                <w:szCs w:val="22"/>
                <w:highlight w:val="none"/>
              </w:rPr>
            </w:pPr>
            <w:r>
              <w:rPr>
                <w:rFonts w:hint="eastAsia" w:ascii="仿宋_GB2312"/>
                <w:color w:val="auto"/>
                <w:sz w:val="22"/>
                <w:szCs w:val="22"/>
                <w:highlight w:val="none"/>
              </w:rPr>
              <w:t>年份：自____年____月1日以来</w:t>
            </w:r>
          </w:p>
          <w:p>
            <w:pPr>
              <w:spacing w:line="360" w:lineRule="exact"/>
              <w:ind w:firstLine="428" w:firstLineChars="200"/>
              <w:rPr>
                <w:rFonts w:ascii="仿宋_GB2312"/>
                <w:color w:val="auto"/>
                <w:sz w:val="22"/>
                <w:szCs w:val="22"/>
                <w:highlight w:val="none"/>
              </w:rPr>
            </w:pPr>
            <w:r>
              <w:rPr>
                <w:rFonts w:hint="eastAsia" w:ascii="仿宋_GB2312"/>
                <w:color w:val="auto"/>
                <w:sz w:val="22"/>
                <w:szCs w:val="22"/>
                <w:highlight w:val="none"/>
              </w:rPr>
              <w:t>“近年完成的类似项目情况表”应附：</w:t>
            </w:r>
            <w:r>
              <w:rPr>
                <w:rFonts w:hint="eastAsia" w:ascii="仿宋_GB2312"/>
                <w:b/>
                <w:bCs/>
                <w:color w:val="auto"/>
                <w:sz w:val="22"/>
                <w:szCs w:val="22"/>
                <w:highlight w:val="none"/>
              </w:rPr>
              <w:t>从“浙江省交通运输信用综合管理服务系统”中打印的含有系统水印的《主要业绩信息一览表》；</w:t>
            </w:r>
          </w:p>
          <w:p>
            <w:pPr>
              <w:spacing w:line="360" w:lineRule="exact"/>
              <w:ind w:firstLine="428" w:firstLineChars="200"/>
              <w:rPr>
                <w:rFonts w:ascii="仿宋_GB2312"/>
                <w:color w:val="auto"/>
                <w:sz w:val="22"/>
                <w:szCs w:val="22"/>
                <w:highlight w:val="none"/>
              </w:rPr>
            </w:pPr>
            <w:r>
              <w:rPr>
                <w:rFonts w:hint="eastAsia" w:ascii="仿宋_GB2312"/>
                <w:color w:val="auto"/>
                <w:sz w:val="22"/>
                <w:szCs w:val="22"/>
                <w:highlight w:val="none"/>
              </w:rPr>
              <w:t>房建等附属设施招标时无法提供《主要业绩信息一览表》的，需同时附（1）中标通知书复印件；（2）合同协议书复印件；（3）质量证明文件（由发包人出具的公路工程（标段）交工验收证书或竣工验收委员会出具的公路工程竣工验收鉴定书或质量监督机构对各参建单位签发的工作综合评价等级证书）的复印件。</w:t>
            </w:r>
          </w:p>
          <w:p>
            <w:pPr>
              <w:spacing w:line="360" w:lineRule="exact"/>
              <w:ind w:firstLine="428" w:firstLineChars="200"/>
              <w:rPr>
                <w:rFonts w:ascii="仿宋_GB2312"/>
                <w:color w:val="auto"/>
                <w:sz w:val="22"/>
                <w:szCs w:val="22"/>
                <w:highlight w:val="none"/>
              </w:rPr>
            </w:pPr>
            <w:r>
              <w:rPr>
                <w:rFonts w:hint="eastAsia" w:ascii="仿宋_GB2312"/>
                <w:color w:val="auto"/>
                <w:sz w:val="22"/>
                <w:szCs w:val="22"/>
                <w:highlight w:val="none"/>
              </w:rPr>
              <w:t>《主要业绩信息一览表》中未体现资格审查或加分相关信息的，以所附证明材料为准。</w:t>
            </w:r>
          </w:p>
          <w:p>
            <w:pPr>
              <w:spacing w:line="360" w:lineRule="exact"/>
              <w:ind w:firstLine="428" w:firstLineChars="200"/>
              <w:rPr>
                <w:rFonts w:ascii="仿宋_GB2312"/>
                <w:color w:val="auto"/>
                <w:sz w:val="22"/>
                <w:szCs w:val="22"/>
                <w:highlight w:val="none"/>
              </w:rPr>
            </w:pPr>
            <w:r>
              <w:rPr>
                <w:rFonts w:hint="eastAsia" w:ascii="仿宋_GB2312"/>
                <w:color w:val="auto"/>
                <w:sz w:val="22"/>
                <w:szCs w:val="22"/>
                <w:highlight w:val="none"/>
              </w:rPr>
              <w:t>所附资料的解释顺序为：质量证明文件、合同协议书、中标通知书；如上述资料中均未体现工程规模、技术标准、主要工程内容的，必须附项目发包人或项目质量监督部门或项目所在地设区市行业主管部门出具的证明材料，否则业绩不予认可。</w:t>
            </w:r>
          </w:p>
          <w:p>
            <w:pPr>
              <w:spacing w:line="360" w:lineRule="exact"/>
              <w:ind w:firstLine="428" w:firstLineChars="200"/>
              <w:rPr>
                <w:rFonts w:ascii="仿宋_GB2312"/>
                <w:color w:val="auto"/>
                <w:sz w:val="22"/>
                <w:szCs w:val="22"/>
                <w:highlight w:val="none"/>
              </w:rPr>
            </w:pPr>
            <w:r>
              <w:rPr>
                <w:rFonts w:hint="eastAsia" w:ascii="仿宋_GB2312"/>
                <w:color w:val="auto"/>
                <w:sz w:val="22"/>
                <w:szCs w:val="22"/>
                <w:highlight w:val="none"/>
              </w:rPr>
              <w:t>上述资料中的施工单位名称与投标人名称必须一致，否则业绩不予认可。以下情形除外：</w:t>
            </w:r>
          </w:p>
          <w:p>
            <w:pPr>
              <w:spacing w:line="360" w:lineRule="exact"/>
              <w:ind w:firstLine="428" w:firstLineChars="200"/>
              <w:rPr>
                <w:rFonts w:ascii="仿宋_GB2312"/>
                <w:color w:val="auto"/>
                <w:sz w:val="22"/>
                <w:szCs w:val="22"/>
                <w:highlight w:val="none"/>
              </w:rPr>
            </w:pPr>
            <w:r>
              <w:rPr>
                <w:rFonts w:hint="eastAsia" w:ascii="仿宋_GB2312"/>
                <w:color w:val="auto"/>
                <w:sz w:val="22"/>
                <w:szCs w:val="22"/>
                <w:highlight w:val="none"/>
              </w:rPr>
              <w:t>（1）施工单位名称发生变更的，但需提供法定部门的批准材料。</w:t>
            </w:r>
          </w:p>
          <w:p>
            <w:pPr>
              <w:ind w:firstLine="428" w:firstLineChars="200"/>
              <w:rPr>
                <w:rFonts w:ascii="仿宋_GB2312"/>
                <w:color w:val="auto"/>
                <w:sz w:val="22"/>
                <w:szCs w:val="22"/>
                <w:highlight w:val="none"/>
              </w:rPr>
            </w:pPr>
            <w:r>
              <w:rPr>
                <w:rFonts w:hint="eastAsia" w:ascii="仿宋_GB2312"/>
                <w:color w:val="auto"/>
                <w:sz w:val="22"/>
                <w:szCs w:val="22"/>
                <w:highlight w:val="none"/>
              </w:rPr>
              <w:t>（2） ___________（招标人认可的其他情形，应在招标文件中对相关业绩的认定标准和证明材料作出明确规定）。</w:t>
            </w:r>
          </w:p>
        </w:tc>
        <w:tc>
          <w:tcPr>
            <w:tcW w:w="2130" w:type="dxa"/>
            <w:shd w:val="clear" w:color="auto" w:fill="auto"/>
            <w:vAlign w:val="center"/>
          </w:tcPr>
          <w:p>
            <w:pPr>
              <w:snapToGrid w:val="0"/>
              <w:spacing w:line="300" w:lineRule="exact"/>
              <w:rPr>
                <w:rFonts w:ascii="仿宋_GB2312" w:hAnsi="黑体"/>
                <w:color w:val="auto"/>
                <w:sz w:val="22"/>
                <w:szCs w:val="22"/>
                <w:highlight w:val="none"/>
              </w:rPr>
            </w:pPr>
            <w:r>
              <w:rPr>
                <w:rFonts w:hint="eastAsia" w:ascii="仿宋_GB2312" w:hAnsi="黑体"/>
                <w:color w:val="auto"/>
                <w:sz w:val="22"/>
                <w:szCs w:val="22"/>
                <w:highlight w:val="none"/>
              </w:rPr>
              <w:t>只需附《主要业绩信息一览表》，《主要业绩信息一览表》对分包业绩也予以认可。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644" w:type="dxa"/>
            <w:shd w:val="clear" w:color="auto" w:fill="auto"/>
            <w:vAlign w:val="center"/>
          </w:tcPr>
          <w:p>
            <w:pPr>
              <w:spacing w:line="300" w:lineRule="exact"/>
              <w:jc w:val="center"/>
              <w:rPr>
                <w:rFonts w:ascii="仿宋_GB2312" w:hAnsi="黑体"/>
                <w:color w:val="auto"/>
                <w:sz w:val="22"/>
                <w:szCs w:val="22"/>
                <w:highlight w:val="none"/>
              </w:rPr>
            </w:pPr>
            <w:r>
              <w:rPr>
                <w:rFonts w:hint="eastAsia" w:ascii="仿宋_GB2312" w:hAnsi="黑体"/>
                <w:color w:val="auto"/>
                <w:sz w:val="22"/>
                <w:szCs w:val="22"/>
                <w:highlight w:val="none"/>
              </w:rPr>
              <w:t>9</w:t>
            </w:r>
          </w:p>
        </w:tc>
        <w:tc>
          <w:tcPr>
            <w:tcW w:w="1326" w:type="dxa"/>
            <w:shd w:val="clear" w:color="auto" w:fill="auto"/>
            <w:vAlign w:val="center"/>
          </w:tcPr>
          <w:p>
            <w:pPr>
              <w:pStyle w:val="2"/>
              <w:spacing w:line="300" w:lineRule="exact"/>
              <w:jc w:val="left"/>
              <w:rPr>
                <w:rFonts w:ascii="仿宋_GB2312" w:hAnsi="黑体" w:eastAsia="仿宋_GB2312"/>
                <w:b w:val="0"/>
                <w:bCs w:val="0"/>
                <w:color w:val="auto"/>
                <w:kern w:val="2"/>
                <w:sz w:val="22"/>
                <w:szCs w:val="22"/>
                <w:highlight w:val="none"/>
                <w:lang w:val="en-US"/>
              </w:rPr>
            </w:pPr>
            <w:r>
              <w:rPr>
                <w:rFonts w:hint="eastAsia" w:ascii="仿宋_GB2312" w:hAnsi="仿宋" w:eastAsia="仿宋_GB2312"/>
                <w:b w:val="0"/>
                <w:bCs w:val="0"/>
                <w:color w:val="auto"/>
                <w:sz w:val="22"/>
                <w:szCs w:val="22"/>
                <w:highlight w:val="none"/>
              </w:rPr>
              <w:t>第二章 投标人须知前附表第3.5.5项</w:t>
            </w:r>
          </w:p>
        </w:tc>
        <w:tc>
          <w:tcPr>
            <w:tcW w:w="4912" w:type="dxa"/>
            <w:shd w:val="clear" w:color="auto" w:fill="auto"/>
            <w:vAlign w:val="center"/>
          </w:tcPr>
          <w:p>
            <w:pPr>
              <w:ind w:firstLine="428" w:firstLineChars="200"/>
              <w:rPr>
                <w:rFonts w:ascii="仿宋_GB2312" w:hAnsi="仿宋" w:cs="仿宋"/>
                <w:color w:val="auto"/>
                <w:sz w:val="22"/>
                <w:szCs w:val="22"/>
                <w:highlight w:val="none"/>
              </w:rPr>
            </w:pPr>
            <w:r>
              <w:rPr>
                <w:rFonts w:hint="eastAsia" w:ascii="仿宋_GB2312" w:hAnsi="仿宋" w:cs="仿宋"/>
                <w:color w:val="auto"/>
                <w:sz w:val="22"/>
                <w:szCs w:val="22"/>
                <w:highlight w:val="none"/>
              </w:rPr>
              <w:t xml:space="preserve">（2）项目经理相关业绩证明材料（担任类似项目的项目经理或项目副经理或项目技术负责人的中标通知书或合同协议书或质量证明文件），如上述资料中均未体现人员姓名、任职及业绩规模的，还须提供项目发包人或项目质量监督部门或项目所在地设区市行业主管部门出具的证明材料。 </w:t>
            </w:r>
          </w:p>
          <w:p>
            <w:pPr>
              <w:spacing w:line="300" w:lineRule="exact"/>
              <w:ind w:firstLine="440"/>
              <w:jc w:val="left"/>
              <w:rPr>
                <w:rFonts w:ascii="仿宋_GB2312" w:hAnsi="黑体"/>
                <w:color w:val="auto"/>
                <w:sz w:val="22"/>
                <w:szCs w:val="22"/>
                <w:highlight w:val="none"/>
              </w:rPr>
            </w:pPr>
            <w:r>
              <w:rPr>
                <w:rFonts w:hint="eastAsia" w:ascii="仿宋_GB2312" w:hAnsi="仿宋" w:cs="仿宋"/>
                <w:color w:val="auto"/>
                <w:sz w:val="22"/>
                <w:szCs w:val="22"/>
                <w:highlight w:val="none"/>
              </w:rPr>
              <w:t>（3）项目经理若曾在其他在建合同工程中担任项目经理但已进行更换的，应附项目发包人的同意更换证明材料，否则更换前后的项目经理均视为有“在建合同工程”。</w:t>
            </w:r>
          </w:p>
        </w:tc>
        <w:tc>
          <w:tcPr>
            <w:tcW w:w="4907" w:type="dxa"/>
            <w:shd w:val="clear" w:color="auto" w:fill="auto"/>
            <w:vAlign w:val="center"/>
          </w:tcPr>
          <w:p>
            <w:pPr>
              <w:ind w:firstLine="428" w:firstLineChars="200"/>
              <w:rPr>
                <w:rFonts w:ascii="仿宋_GB2312" w:hAnsi="仿宋" w:cs="仿宋"/>
                <w:color w:val="auto"/>
                <w:sz w:val="22"/>
                <w:szCs w:val="22"/>
                <w:highlight w:val="none"/>
              </w:rPr>
            </w:pPr>
            <w:r>
              <w:rPr>
                <w:rFonts w:hint="eastAsia" w:ascii="仿宋_GB2312" w:hAnsi="仿宋" w:cs="仿宋"/>
                <w:color w:val="auto"/>
                <w:sz w:val="22"/>
                <w:szCs w:val="22"/>
                <w:highlight w:val="none"/>
              </w:rPr>
              <w:t>（2）项目经理相关业绩证明材料（担任类似项目的项目经理或项目副经理或项目技术负责人</w:t>
            </w:r>
            <w:r>
              <w:rPr>
                <w:rFonts w:hint="eastAsia" w:ascii="仿宋_GB2312" w:hAnsi="仿宋" w:cs="仿宋"/>
                <w:b/>
                <w:bCs/>
                <w:color w:val="auto"/>
                <w:sz w:val="22"/>
                <w:szCs w:val="22"/>
                <w:highlight w:val="none"/>
              </w:rPr>
              <w:t>或设计施工总承包项目的施工负责人</w:t>
            </w:r>
            <w:r>
              <w:rPr>
                <w:rFonts w:hint="eastAsia" w:ascii="仿宋_GB2312" w:hAnsi="仿宋" w:cs="仿宋"/>
                <w:color w:val="auto"/>
                <w:sz w:val="22"/>
                <w:szCs w:val="22"/>
                <w:highlight w:val="none"/>
              </w:rPr>
              <w:t xml:space="preserve">的中标通知书或合同协议书或质量证明文件），如上述资料中均未体现人员姓名、任职及业绩规模的，还须提供项目发包人或项目质量监督部门或项目所在地设区市行业主管部门出具的证明材料。 </w:t>
            </w:r>
          </w:p>
          <w:p>
            <w:pPr>
              <w:spacing w:line="300" w:lineRule="exact"/>
              <w:ind w:firstLine="428" w:firstLineChars="200"/>
              <w:jc w:val="left"/>
              <w:rPr>
                <w:rFonts w:ascii="仿宋_GB2312" w:hAnsi="黑体"/>
                <w:color w:val="auto"/>
                <w:sz w:val="22"/>
                <w:szCs w:val="22"/>
                <w:highlight w:val="none"/>
              </w:rPr>
            </w:pPr>
            <w:r>
              <w:rPr>
                <w:rFonts w:hint="eastAsia" w:ascii="仿宋_GB2312" w:hAnsi="仿宋" w:cs="仿宋"/>
                <w:color w:val="auto"/>
                <w:sz w:val="22"/>
                <w:szCs w:val="22"/>
                <w:highlight w:val="none"/>
              </w:rPr>
              <w:t>（3）项目经理若曾在其他在建合同工程中担任项目经理</w:t>
            </w:r>
            <w:r>
              <w:rPr>
                <w:rFonts w:hint="eastAsia" w:ascii="仿宋_GB2312" w:hAnsi="仿宋" w:cs="仿宋"/>
                <w:b/>
                <w:bCs/>
                <w:color w:val="auto"/>
                <w:sz w:val="22"/>
                <w:szCs w:val="22"/>
                <w:highlight w:val="none"/>
              </w:rPr>
              <w:t>（含设计施工总承包项目的施工负责人）</w:t>
            </w:r>
            <w:r>
              <w:rPr>
                <w:rFonts w:hint="eastAsia" w:ascii="仿宋_GB2312" w:hAnsi="仿宋" w:cs="仿宋"/>
                <w:color w:val="auto"/>
                <w:sz w:val="22"/>
                <w:szCs w:val="22"/>
                <w:highlight w:val="none"/>
              </w:rPr>
              <w:t>但已进行更换的，应附项目发包人的同意更换证明材料，否则更换前后的项目经理</w:t>
            </w:r>
            <w:r>
              <w:rPr>
                <w:rFonts w:hint="eastAsia" w:ascii="仿宋_GB2312" w:hAnsi="仿宋" w:cs="仿宋"/>
                <w:b/>
                <w:bCs/>
                <w:color w:val="auto"/>
                <w:sz w:val="22"/>
                <w:szCs w:val="22"/>
                <w:highlight w:val="none"/>
              </w:rPr>
              <w:t>（含设计施工总承包项目的施工负责人）</w:t>
            </w:r>
            <w:r>
              <w:rPr>
                <w:rFonts w:hint="eastAsia" w:ascii="仿宋_GB2312" w:hAnsi="仿宋" w:cs="仿宋"/>
                <w:color w:val="auto"/>
                <w:sz w:val="22"/>
                <w:szCs w:val="22"/>
                <w:highlight w:val="none"/>
              </w:rPr>
              <w:t>均视为有“在建合同工程”。</w:t>
            </w:r>
          </w:p>
        </w:tc>
        <w:tc>
          <w:tcPr>
            <w:tcW w:w="2130" w:type="dxa"/>
            <w:shd w:val="clear" w:color="auto" w:fill="auto"/>
            <w:vAlign w:val="center"/>
          </w:tcPr>
          <w:p>
            <w:pPr>
              <w:pStyle w:val="11"/>
              <w:shd w:val="clear" w:color="auto" w:fill="FFFFFF"/>
              <w:spacing w:before="0" w:beforeAutospacing="0" w:after="0" w:afterAutospacing="0" w:line="300" w:lineRule="exact"/>
              <w:rPr>
                <w:rFonts w:ascii="仿宋_GB2312" w:hAnsi="黑体" w:eastAsia="仿宋_GB2312" w:cs="Times New Roman"/>
                <w:color w:val="auto"/>
                <w:kern w:val="2"/>
                <w:sz w:val="22"/>
                <w:szCs w:val="22"/>
                <w:highlight w:val="none"/>
              </w:rPr>
            </w:pPr>
            <w:r>
              <w:rPr>
                <w:rFonts w:hint="eastAsia" w:ascii="仿宋_GB2312" w:hAnsi="仿宋" w:eastAsia="仿宋_GB2312" w:cs="仿宋"/>
                <w:color w:val="auto"/>
                <w:sz w:val="22"/>
                <w:szCs w:val="22"/>
                <w:highlight w:val="none"/>
              </w:rPr>
              <w:t>补充完善，前后保持一致。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644" w:type="dxa"/>
            <w:shd w:val="clear" w:color="auto" w:fill="auto"/>
            <w:vAlign w:val="center"/>
          </w:tcPr>
          <w:p>
            <w:pPr>
              <w:spacing w:line="300" w:lineRule="exact"/>
              <w:jc w:val="center"/>
              <w:rPr>
                <w:rFonts w:ascii="仿宋_GB2312" w:hAnsi="黑体"/>
                <w:color w:val="auto"/>
                <w:sz w:val="22"/>
                <w:szCs w:val="22"/>
                <w:highlight w:val="none"/>
              </w:rPr>
            </w:pPr>
            <w:r>
              <w:rPr>
                <w:rFonts w:hint="eastAsia" w:ascii="仿宋_GB2312" w:hAnsi="黑体"/>
                <w:color w:val="auto"/>
                <w:sz w:val="22"/>
                <w:szCs w:val="22"/>
                <w:highlight w:val="none"/>
              </w:rPr>
              <w:t>10</w:t>
            </w:r>
          </w:p>
        </w:tc>
        <w:tc>
          <w:tcPr>
            <w:tcW w:w="1326" w:type="dxa"/>
            <w:shd w:val="clear" w:color="auto" w:fill="auto"/>
            <w:vAlign w:val="center"/>
          </w:tcPr>
          <w:p>
            <w:pPr>
              <w:pStyle w:val="2"/>
              <w:spacing w:line="300" w:lineRule="exact"/>
              <w:jc w:val="left"/>
              <w:rPr>
                <w:rFonts w:ascii="仿宋_GB2312" w:hAnsi="黑体" w:eastAsia="仿宋_GB2312"/>
                <w:b w:val="0"/>
                <w:bCs w:val="0"/>
                <w:color w:val="auto"/>
                <w:kern w:val="2"/>
                <w:sz w:val="22"/>
                <w:szCs w:val="22"/>
                <w:highlight w:val="none"/>
                <w:lang w:val="en-US"/>
              </w:rPr>
            </w:pPr>
            <w:r>
              <w:rPr>
                <w:rFonts w:hint="eastAsia" w:ascii="仿宋_GB2312" w:hAnsi="仿宋" w:eastAsia="仿宋_GB2312"/>
                <w:b w:val="0"/>
                <w:bCs w:val="0"/>
                <w:color w:val="auto"/>
                <w:sz w:val="22"/>
                <w:szCs w:val="22"/>
                <w:highlight w:val="none"/>
              </w:rPr>
              <w:t>第二章投标人须知前附表第3.7.3项（3）、（4）</w:t>
            </w:r>
          </w:p>
        </w:tc>
        <w:tc>
          <w:tcPr>
            <w:tcW w:w="4912" w:type="dxa"/>
            <w:shd w:val="clear" w:color="auto" w:fill="auto"/>
            <w:vAlign w:val="center"/>
          </w:tcPr>
          <w:p>
            <w:pPr>
              <w:rPr>
                <w:rFonts w:ascii="仿宋_GB2312" w:hAnsi="仿宋" w:cs="仿宋"/>
                <w:color w:val="auto"/>
                <w:sz w:val="22"/>
                <w:szCs w:val="22"/>
                <w:highlight w:val="none"/>
              </w:rPr>
            </w:pPr>
            <w:r>
              <w:rPr>
                <w:rFonts w:hint="eastAsia" w:ascii="仿宋_GB2312" w:hAnsi="仿宋" w:cs="仿宋"/>
                <w:color w:val="auto"/>
                <w:sz w:val="22"/>
                <w:szCs w:val="22"/>
                <w:highlight w:val="none"/>
              </w:rPr>
              <w:t>（3）投标文件中证明资料的“复印件”均为“原件的扫描件”，应从“电子交易平台”会员诚信库中选择并进行超链接，未标示“复印件”的证明资料均应直接制作生成。</w:t>
            </w:r>
          </w:p>
          <w:p>
            <w:pPr>
              <w:spacing w:line="300" w:lineRule="exact"/>
              <w:jc w:val="left"/>
              <w:rPr>
                <w:rFonts w:ascii="仿宋_GB2312" w:hAnsi="黑体"/>
                <w:color w:val="auto"/>
                <w:sz w:val="22"/>
                <w:szCs w:val="22"/>
                <w:highlight w:val="none"/>
              </w:rPr>
            </w:pPr>
            <w:r>
              <w:rPr>
                <w:rFonts w:hint="eastAsia" w:ascii="仿宋_GB2312" w:hAnsi="仿宋" w:cs="仿宋"/>
                <w:color w:val="auto"/>
                <w:sz w:val="22"/>
                <w:szCs w:val="22"/>
                <w:highlight w:val="none"/>
              </w:rPr>
              <w:t>（4）投标文件中的已标价工程量清单</w:t>
            </w:r>
            <w:r>
              <w:rPr>
                <w:rFonts w:hint="eastAsia" w:ascii="仿宋_GB2312" w:hAnsi="仿宋" w:cs="仿宋"/>
                <w:b/>
                <w:bCs/>
                <w:color w:val="auto"/>
                <w:sz w:val="22"/>
                <w:szCs w:val="22"/>
                <w:highlight w:val="none"/>
              </w:rPr>
              <w:t>数据文件</w:t>
            </w:r>
            <w:r>
              <w:rPr>
                <w:rFonts w:hint="eastAsia" w:ascii="仿宋_GB2312" w:hAnsi="仿宋" w:cs="仿宋"/>
                <w:color w:val="auto"/>
                <w:sz w:val="22"/>
                <w:szCs w:val="22"/>
                <w:highlight w:val="none"/>
              </w:rPr>
              <w:t>应与招标人提供的工程量清单</w:t>
            </w:r>
            <w:r>
              <w:rPr>
                <w:rFonts w:hint="eastAsia" w:ascii="仿宋_GB2312" w:hAnsi="仿宋" w:cs="仿宋"/>
                <w:b/>
                <w:bCs/>
                <w:color w:val="auto"/>
                <w:sz w:val="22"/>
                <w:szCs w:val="22"/>
                <w:highlight w:val="none"/>
              </w:rPr>
              <w:t>数据文件</w:t>
            </w:r>
            <w:r>
              <w:rPr>
                <w:rFonts w:hint="eastAsia" w:ascii="仿宋_GB2312" w:hAnsi="仿宋" w:cs="仿宋"/>
                <w:color w:val="auto"/>
                <w:sz w:val="22"/>
                <w:szCs w:val="22"/>
                <w:highlight w:val="none"/>
              </w:rPr>
              <w:t>格式一致。</w:t>
            </w:r>
          </w:p>
        </w:tc>
        <w:tc>
          <w:tcPr>
            <w:tcW w:w="4907" w:type="dxa"/>
            <w:shd w:val="clear" w:color="auto" w:fill="auto"/>
            <w:vAlign w:val="center"/>
          </w:tcPr>
          <w:p>
            <w:pPr>
              <w:rPr>
                <w:rFonts w:ascii="仿宋_GB2312" w:hAnsi="仿宋" w:cs="仿宋"/>
                <w:color w:val="auto"/>
                <w:sz w:val="22"/>
                <w:szCs w:val="22"/>
                <w:highlight w:val="none"/>
              </w:rPr>
            </w:pPr>
            <w:r>
              <w:rPr>
                <w:rFonts w:hint="eastAsia" w:ascii="仿宋_GB2312" w:hAnsi="仿宋" w:cs="仿宋"/>
                <w:color w:val="auto"/>
                <w:sz w:val="22"/>
                <w:szCs w:val="22"/>
                <w:highlight w:val="none"/>
              </w:rPr>
              <w:t>（3）</w:t>
            </w:r>
            <w:r>
              <w:rPr>
                <w:rFonts w:hint="eastAsia" w:ascii="仿宋_GB2312" w:hAnsi="仿宋" w:cs="仿宋"/>
                <w:b/>
                <w:bCs/>
                <w:color w:val="auto"/>
                <w:sz w:val="22"/>
                <w:szCs w:val="22"/>
                <w:highlight w:val="none"/>
              </w:rPr>
              <w:t>增加注①：</w:t>
            </w:r>
          </w:p>
          <w:p>
            <w:pPr>
              <w:ind w:firstLine="428" w:firstLineChars="200"/>
              <w:rPr>
                <w:rFonts w:ascii="仿宋_GB2312" w:hAnsi="仿宋" w:cs="仿宋"/>
                <w:color w:val="auto"/>
                <w:sz w:val="22"/>
                <w:szCs w:val="22"/>
                <w:highlight w:val="none"/>
              </w:rPr>
            </w:pPr>
            <w:r>
              <w:rPr>
                <w:rFonts w:hint="eastAsia" w:ascii="仿宋_GB2312" w:hAnsi="仿宋" w:cs="仿宋"/>
                <w:b/>
                <w:bCs/>
                <w:color w:val="auto"/>
                <w:sz w:val="22"/>
                <w:szCs w:val="22"/>
                <w:highlight w:val="none"/>
              </w:rPr>
              <w:t>①在“电子交易平台”会员诚信库建成使用后适用。</w:t>
            </w:r>
          </w:p>
          <w:p>
            <w:pPr>
              <w:spacing w:line="300" w:lineRule="exact"/>
              <w:jc w:val="left"/>
              <w:rPr>
                <w:rFonts w:ascii="仿宋_GB2312" w:hAnsi="黑体"/>
                <w:color w:val="auto"/>
                <w:sz w:val="22"/>
                <w:szCs w:val="22"/>
                <w:highlight w:val="none"/>
              </w:rPr>
            </w:pPr>
            <w:r>
              <w:rPr>
                <w:rFonts w:hint="eastAsia" w:ascii="仿宋_GB2312" w:hAnsi="仿宋" w:cs="仿宋"/>
                <w:color w:val="auto"/>
                <w:sz w:val="22"/>
                <w:szCs w:val="22"/>
                <w:highlight w:val="none"/>
              </w:rPr>
              <w:t>（4）投标文件中的已标价工程量清单应与招标人提供的工程量清单格式一致。</w:t>
            </w:r>
          </w:p>
        </w:tc>
        <w:tc>
          <w:tcPr>
            <w:tcW w:w="2130" w:type="dxa"/>
            <w:shd w:val="clear" w:color="auto" w:fill="auto"/>
            <w:vAlign w:val="center"/>
          </w:tcPr>
          <w:p>
            <w:pPr>
              <w:pStyle w:val="11"/>
              <w:shd w:val="clear" w:color="auto" w:fill="FFFFFF"/>
              <w:spacing w:before="0" w:beforeAutospacing="0" w:after="0" w:afterAutospacing="0" w:line="300" w:lineRule="exact"/>
              <w:rPr>
                <w:rFonts w:ascii="仿宋_GB2312" w:hAnsi="仿宋" w:eastAsia="仿宋_GB2312" w:cs="仿宋"/>
                <w:color w:val="auto"/>
                <w:sz w:val="22"/>
                <w:szCs w:val="22"/>
                <w:highlight w:val="none"/>
              </w:rPr>
            </w:pPr>
            <w:r>
              <w:rPr>
                <w:rFonts w:hint="eastAsia" w:ascii="仿宋_GB2312" w:hAnsi="仿宋" w:eastAsia="仿宋_GB2312" w:cs="仿宋"/>
                <w:color w:val="auto"/>
                <w:sz w:val="22"/>
                <w:szCs w:val="22"/>
                <w:highlight w:val="none"/>
              </w:rPr>
              <w:t>鉴于目前“电子交易平台”会员诚信库尚未建成使用，增加备注。</w:t>
            </w:r>
          </w:p>
          <w:p>
            <w:pPr>
              <w:pStyle w:val="11"/>
              <w:shd w:val="clear" w:color="auto" w:fill="FFFFFF"/>
              <w:spacing w:before="0" w:beforeAutospacing="0" w:after="0" w:afterAutospacing="0" w:line="300" w:lineRule="exact"/>
              <w:rPr>
                <w:rFonts w:ascii="仿宋_GB2312" w:hAnsi="黑体" w:eastAsia="仿宋_GB2312" w:cs="Times New Roman"/>
                <w:color w:val="auto"/>
                <w:kern w:val="2"/>
                <w:sz w:val="22"/>
                <w:szCs w:val="22"/>
                <w:highlight w:val="none"/>
              </w:rPr>
            </w:pPr>
            <w:r>
              <w:rPr>
                <w:rFonts w:hint="eastAsia" w:ascii="仿宋_GB2312" w:hAnsi="仿宋" w:eastAsia="仿宋_GB2312" w:cs="仿宋"/>
                <w:color w:val="auto"/>
                <w:sz w:val="22"/>
                <w:szCs w:val="22"/>
                <w:highlight w:val="none"/>
              </w:rPr>
              <w:t>工程量清单数据文件易产生歧义。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644" w:type="dxa"/>
            <w:shd w:val="clear" w:color="auto" w:fill="auto"/>
            <w:vAlign w:val="center"/>
          </w:tcPr>
          <w:p>
            <w:pPr>
              <w:spacing w:line="300" w:lineRule="exact"/>
              <w:jc w:val="center"/>
              <w:rPr>
                <w:rFonts w:ascii="仿宋_GB2312" w:hAnsi="黑体"/>
                <w:color w:val="auto"/>
                <w:sz w:val="22"/>
                <w:szCs w:val="22"/>
                <w:highlight w:val="none"/>
              </w:rPr>
            </w:pPr>
            <w:r>
              <w:rPr>
                <w:rFonts w:hint="eastAsia" w:ascii="仿宋_GB2312" w:hAnsi="黑体"/>
                <w:color w:val="auto"/>
                <w:sz w:val="22"/>
                <w:szCs w:val="22"/>
                <w:highlight w:val="none"/>
              </w:rPr>
              <w:t>11</w:t>
            </w:r>
          </w:p>
        </w:tc>
        <w:tc>
          <w:tcPr>
            <w:tcW w:w="1326" w:type="dxa"/>
            <w:shd w:val="clear" w:color="auto" w:fill="auto"/>
            <w:vAlign w:val="center"/>
          </w:tcPr>
          <w:p>
            <w:pPr>
              <w:pStyle w:val="2"/>
              <w:spacing w:line="300" w:lineRule="exact"/>
              <w:jc w:val="left"/>
              <w:rPr>
                <w:rFonts w:ascii="仿宋_GB2312" w:hAnsi="黑体" w:eastAsia="仿宋_GB2312"/>
                <w:b w:val="0"/>
                <w:bCs w:val="0"/>
                <w:color w:val="auto"/>
                <w:kern w:val="2"/>
                <w:sz w:val="22"/>
                <w:szCs w:val="22"/>
                <w:highlight w:val="none"/>
                <w:lang w:val="en-US"/>
              </w:rPr>
            </w:pPr>
            <w:r>
              <w:rPr>
                <w:rFonts w:hint="eastAsia" w:ascii="仿宋_GB2312" w:hAnsi="仿宋" w:eastAsia="仿宋_GB2312"/>
                <w:b w:val="0"/>
                <w:bCs w:val="0"/>
                <w:color w:val="auto"/>
                <w:sz w:val="22"/>
                <w:szCs w:val="22"/>
                <w:highlight w:val="none"/>
              </w:rPr>
              <w:t>第二章 投标人须知前附表第5.2.1项</w:t>
            </w:r>
          </w:p>
        </w:tc>
        <w:tc>
          <w:tcPr>
            <w:tcW w:w="4912" w:type="dxa"/>
            <w:shd w:val="clear" w:color="auto" w:fill="auto"/>
            <w:vAlign w:val="center"/>
          </w:tcPr>
          <w:p>
            <w:pPr>
              <w:spacing w:line="300" w:lineRule="exact"/>
              <w:ind w:firstLine="440"/>
              <w:jc w:val="left"/>
              <w:rPr>
                <w:rFonts w:ascii="仿宋_GB2312" w:hAnsi="黑体"/>
                <w:color w:val="auto"/>
                <w:sz w:val="22"/>
                <w:szCs w:val="22"/>
                <w:highlight w:val="none"/>
              </w:rPr>
            </w:pPr>
            <w:r>
              <w:rPr>
                <w:rFonts w:hint="eastAsia" w:ascii="仿宋_GB2312" w:hAnsi="仿宋" w:cs="仿宋"/>
                <w:color w:val="auto"/>
                <w:sz w:val="22"/>
                <w:szCs w:val="22"/>
                <w:highlight w:val="none"/>
              </w:rPr>
              <w:t>5.2.1 如发现投标文件有4.2.4项情况之一的，相应投标文件不予开标</w:t>
            </w:r>
            <w:r>
              <w:rPr>
                <w:rFonts w:hint="eastAsia" w:ascii="仿宋_GB2312" w:hAnsi="仿宋" w:cs="仿宋"/>
                <w:b/>
                <w:bCs/>
                <w:color w:val="auto"/>
                <w:sz w:val="22"/>
                <w:szCs w:val="22"/>
                <w:highlight w:val="none"/>
              </w:rPr>
              <w:t>，招标人将投标文件退回投标人</w:t>
            </w:r>
            <w:r>
              <w:rPr>
                <w:rFonts w:hint="eastAsia" w:ascii="仿宋_GB2312" w:hAnsi="仿宋" w:cs="仿宋"/>
                <w:color w:val="auto"/>
                <w:sz w:val="22"/>
                <w:szCs w:val="22"/>
                <w:highlight w:val="none"/>
              </w:rPr>
              <w:t>。</w:t>
            </w:r>
          </w:p>
        </w:tc>
        <w:tc>
          <w:tcPr>
            <w:tcW w:w="4907" w:type="dxa"/>
            <w:shd w:val="clear" w:color="auto" w:fill="auto"/>
            <w:vAlign w:val="center"/>
          </w:tcPr>
          <w:p>
            <w:pPr>
              <w:spacing w:line="300" w:lineRule="exact"/>
              <w:ind w:firstLine="428" w:firstLineChars="200"/>
              <w:jc w:val="left"/>
              <w:rPr>
                <w:rFonts w:ascii="仿宋_GB2312" w:hAnsi="黑体"/>
                <w:color w:val="auto"/>
                <w:sz w:val="22"/>
                <w:szCs w:val="22"/>
                <w:highlight w:val="none"/>
              </w:rPr>
            </w:pPr>
            <w:r>
              <w:rPr>
                <w:rFonts w:hint="eastAsia" w:ascii="仿宋_GB2312" w:hAnsi="仿宋" w:cs="仿宋"/>
                <w:color w:val="auto"/>
                <w:sz w:val="22"/>
                <w:szCs w:val="22"/>
                <w:highlight w:val="none"/>
              </w:rPr>
              <w:t>5.2.1 如发现投标文件有4.2.4项情况之一的，相应投标文件不予开标。</w:t>
            </w:r>
          </w:p>
        </w:tc>
        <w:tc>
          <w:tcPr>
            <w:tcW w:w="2130" w:type="dxa"/>
            <w:shd w:val="clear" w:color="auto" w:fill="auto"/>
            <w:vAlign w:val="center"/>
          </w:tcPr>
          <w:p>
            <w:pPr>
              <w:pStyle w:val="11"/>
              <w:shd w:val="clear" w:color="auto" w:fill="FFFFFF"/>
              <w:spacing w:before="0" w:beforeAutospacing="0" w:after="0" w:afterAutospacing="0" w:line="300" w:lineRule="exact"/>
              <w:rPr>
                <w:rFonts w:ascii="仿宋_GB2312" w:hAnsi="黑体" w:eastAsia="仿宋_GB2312" w:cs="Times New Roman"/>
                <w:color w:val="auto"/>
                <w:kern w:val="2"/>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644" w:type="dxa"/>
            <w:shd w:val="clear" w:color="auto" w:fill="auto"/>
            <w:vAlign w:val="center"/>
          </w:tcPr>
          <w:p>
            <w:pPr>
              <w:spacing w:line="300" w:lineRule="exact"/>
              <w:jc w:val="center"/>
              <w:rPr>
                <w:rFonts w:hint="eastAsia" w:ascii="仿宋_GB2312" w:hAnsi="黑体" w:eastAsia="仿宋_GB2312" w:cs="Times New Roman"/>
                <w:color w:val="auto"/>
                <w:kern w:val="2"/>
                <w:sz w:val="22"/>
                <w:szCs w:val="22"/>
                <w:highlight w:val="none"/>
                <w:lang w:val="en-US" w:eastAsia="zh-CN" w:bidi="ar-SA"/>
              </w:rPr>
            </w:pPr>
            <w:r>
              <w:rPr>
                <w:rFonts w:hint="eastAsia" w:ascii="仿宋_GB2312" w:hAnsi="黑体"/>
                <w:color w:val="auto"/>
                <w:sz w:val="22"/>
                <w:szCs w:val="22"/>
                <w:highlight w:val="none"/>
              </w:rPr>
              <w:t>1</w:t>
            </w:r>
            <w:r>
              <w:rPr>
                <w:rFonts w:hint="eastAsia" w:ascii="仿宋_GB2312" w:hAnsi="黑体"/>
                <w:color w:val="auto"/>
                <w:sz w:val="22"/>
                <w:szCs w:val="22"/>
                <w:highlight w:val="none"/>
                <w:lang w:val="en-US" w:eastAsia="zh-CN"/>
              </w:rPr>
              <w:t>2</w:t>
            </w:r>
          </w:p>
        </w:tc>
        <w:tc>
          <w:tcPr>
            <w:tcW w:w="1326" w:type="dxa"/>
            <w:shd w:val="clear" w:color="auto" w:fill="auto"/>
            <w:vAlign w:val="center"/>
          </w:tcPr>
          <w:p>
            <w:pPr>
              <w:spacing w:line="300" w:lineRule="exact"/>
              <w:jc w:val="left"/>
              <w:rPr>
                <w:rFonts w:hint="eastAsia" w:ascii="仿宋_GB2312" w:hAnsi="仿宋" w:eastAsia="仿宋_GB2312" w:cs="Times New Roman"/>
                <w:color w:val="auto"/>
                <w:kern w:val="2"/>
                <w:sz w:val="22"/>
                <w:szCs w:val="22"/>
                <w:highlight w:val="none"/>
                <w:lang w:val="en-US" w:eastAsia="zh-CN" w:bidi="ar-SA"/>
              </w:rPr>
            </w:pPr>
            <w:r>
              <w:rPr>
                <w:rFonts w:hint="eastAsia" w:ascii="仿宋_GB2312" w:hAnsi="仿宋"/>
                <w:color w:val="auto"/>
                <w:sz w:val="22"/>
                <w:szCs w:val="22"/>
                <w:highlight w:val="none"/>
              </w:rPr>
              <w:t>第二章 投标人须知附录5注①</w:t>
            </w:r>
          </w:p>
        </w:tc>
        <w:tc>
          <w:tcPr>
            <w:tcW w:w="4912" w:type="dxa"/>
            <w:shd w:val="clear" w:color="auto" w:fill="auto"/>
            <w:vAlign w:val="center"/>
          </w:tcPr>
          <w:p>
            <w:pPr>
              <w:ind w:firstLine="214" w:firstLineChars="100"/>
              <w:rPr>
                <w:rFonts w:hint="eastAsia" w:ascii="仿宋_GB2312" w:hAnsi="仿宋" w:eastAsia="仿宋_GB2312" w:cs="Times New Roman"/>
                <w:color w:val="auto"/>
                <w:kern w:val="2"/>
                <w:sz w:val="22"/>
                <w:szCs w:val="22"/>
                <w:highlight w:val="none"/>
                <w:lang w:val="en-US" w:eastAsia="zh-CN" w:bidi="ar-SA"/>
              </w:rPr>
            </w:pPr>
            <w:r>
              <w:rPr>
                <w:rFonts w:hint="eastAsia" w:ascii="仿宋_GB2312" w:hAnsi="仿宋"/>
                <w:color w:val="auto"/>
                <w:sz w:val="22"/>
                <w:szCs w:val="22"/>
                <w:highlight w:val="none"/>
              </w:rPr>
              <w:t>1. 在建合同工程的开始时间为该合同工程中标通知书发出之日（不通过招标方式的，开始时间为合同签订之日），结束时间为该合同工程通过交工验收或合同解除之日。</w:t>
            </w:r>
          </w:p>
        </w:tc>
        <w:tc>
          <w:tcPr>
            <w:tcW w:w="4907" w:type="dxa"/>
            <w:shd w:val="clear" w:color="auto" w:fill="auto"/>
            <w:vAlign w:val="center"/>
          </w:tcPr>
          <w:p>
            <w:pPr>
              <w:ind w:firstLine="214" w:firstLineChars="100"/>
              <w:rPr>
                <w:rFonts w:hint="eastAsia" w:ascii="仿宋_GB2312" w:hAnsi="仿宋" w:eastAsia="仿宋_GB2312" w:cs="Times New Roman"/>
                <w:color w:val="auto"/>
                <w:kern w:val="2"/>
                <w:sz w:val="22"/>
                <w:szCs w:val="22"/>
                <w:highlight w:val="none"/>
                <w:lang w:val="en-US" w:eastAsia="zh-CN" w:bidi="ar-SA"/>
              </w:rPr>
            </w:pPr>
            <w:r>
              <w:rPr>
                <w:rFonts w:hint="eastAsia" w:ascii="仿宋_GB2312" w:hAnsi="仿宋"/>
                <w:color w:val="auto"/>
                <w:sz w:val="22"/>
                <w:szCs w:val="22"/>
                <w:highlight w:val="none"/>
              </w:rPr>
              <w:t>1. 在建合同工程的开始时间为该合同工程中标通知书发出之日（不通过招标方式的，开始时间为合同签订之日），结束时间为该合同工程通过交工验收或合同解除之日</w:t>
            </w:r>
            <w:r>
              <w:rPr>
                <w:rFonts w:hint="eastAsia" w:ascii="仿宋_GB2312" w:hAnsi="仿宋"/>
                <w:b/>
                <w:bCs/>
                <w:color w:val="auto"/>
                <w:sz w:val="22"/>
                <w:szCs w:val="22"/>
                <w:highlight w:val="none"/>
              </w:rPr>
              <w:t>（机电项目以完工证书为准）</w:t>
            </w:r>
            <w:r>
              <w:rPr>
                <w:rFonts w:hint="eastAsia" w:ascii="仿宋_GB2312" w:hAnsi="仿宋"/>
                <w:color w:val="auto"/>
                <w:sz w:val="22"/>
                <w:szCs w:val="22"/>
                <w:highlight w:val="none"/>
              </w:rPr>
              <w:t>。</w:t>
            </w:r>
          </w:p>
        </w:tc>
        <w:tc>
          <w:tcPr>
            <w:tcW w:w="2130" w:type="dxa"/>
            <w:shd w:val="clear" w:color="auto" w:fill="auto"/>
            <w:vAlign w:val="center"/>
          </w:tcPr>
          <w:p>
            <w:pPr>
              <w:pStyle w:val="11"/>
              <w:shd w:val="clear" w:color="auto" w:fill="FFFFFF"/>
              <w:spacing w:before="0" w:beforeAutospacing="0" w:after="150" w:afterAutospacing="0" w:line="300" w:lineRule="exact"/>
              <w:jc w:val="center"/>
              <w:rPr>
                <w:rFonts w:hint="eastAsia" w:ascii="仿宋_GB2312" w:hAnsi="仿宋" w:eastAsia="仿宋_GB2312" w:cs="仿宋"/>
                <w:color w:val="auto"/>
                <w:kern w:val="2"/>
                <w:sz w:val="22"/>
                <w:szCs w:val="2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644" w:type="dxa"/>
            <w:shd w:val="clear" w:color="auto" w:fill="auto"/>
            <w:vAlign w:val="center"/>
          </w:tcPr>
          <w:p>
            <w:pPr>
              <w:spacing w:line="300" w:lineRule="exact"/>
              <w:jc w:val="center"/>
              <w:rPr>
                <w:rFonts w:hint="eastAsia" w:ascii="仿宋_GB2312" w:hAnsi="黑体" w:eastAsia="仿宋_GB2312"/>
                <w:color w:val="auto"/>
                <w:sz w:val="22"/>
                <w:szCs w:val="22"/>
                <w:highlight w:val="none"/>
                <w:lang w:eastAsia="zh-CN"/>
              </w:rPr>
            </w:pPr>
            <w:r>
              <w:rPr>
                <w:rFonts w:hint="eastAsia" w:ascii="仿宋_GB2312" w:hAnsi="黑体"/>
                <w:color w:val="auto"/>
                <w:sz w:val="22"/>
                <w:szCs w:val="22"/>
                <w:highlight w:val="none"/>
              </w:rPr>
              <w:t>1</w:t>
            </w:r>
            <w:r>
              <w:rPr>
                <w:rFonts w:hint="eastAsia" w:ascii="仿宋_GB2312" w:hAnsi="黑体"/>
                <w:color w:val="auto"/>
                <w:sz w:val="22"/>
                <w:szCs w:val="22"/>
                <w:highlight w:val="none"/>
                <w:lang w:val="en-US" w:eastAsia="zh-CN"/>
              </w:rPr>
              <w:t>3</w:t>
            </w:r>
          </w:p>
        </w:tc>
        <w:tc>
          <w:tcPr>
            <w:tcW w:w="1326" w:type="dxa"/>
            <w:shd w:val="clear" w:color="auto" w:fill="auto"/>
            <w:vAlign w:val="center"/>
          </w:tcPr>
          <w:p>
            <w:pPr>
              <w:spacing w:line="300" w:lineRule="exact"/>
              <w:jc w:val="left"/>
              <w:rPr>
                <w:rFonts w:hint="eastAsia" w:ascii="仿宋_GB2312" w:hAnsi="黑体"/>
                <w:b/>
                <w:bCs/>
                <w:color w:val="auto"/>
                <w:sz w:val="22"/>
                <w:szCs w:val="22"/>
                <w:highlight w:val="none"/>
              </w:rPr>
            </w:pPr>
            <w:r>
              <w:rPr>
                <w:rFonts w:hint="eastAsia" w:ascii="仿宋_GB2312" w:hAnsi="仿宋"/>
                <w:color w:val="auto"/>
                <w:sz w:val="22"/>
                <w:szCs w:val="22"/>
                <w:highlight w:val="none"/>
              </w:rPr>
              <w:t>第三章 评标办法第2.1.1、2.1.3项</w:t>
            </w:r>
          </w:p>
        </w:tc>
        <w:tc>
          <w:tcPr>
            <w:tcW w:w="4912" w:type="dxa"/>
            <w:shd w:val="clear" w:color="auto" w:fill="auto"/>
            <w:vAlign w:val="center"/>
          </w:tcPr>
          <w:p>
            <w:pPr>
              <w:ind w:firstLine="214" w:firstLineChars="100"/>
              <w:rPr>
                <w:rFonts w:hint="eastAsia" w:ascii="仿宋_GB2312" w:hAnsi="黑体"/>
                <w:color w:val="auto"/>
                <w:sz w:val="22"/>
                <w:szCs w:val="22"/>
                <w:highlight w:val="none"/>
              </w:rPr>
            </w:pPr>
            <w:r>
              <w:rPr>
                <w:rFonts w:hint="eastAsia" w:ascii="仿宋_GB2312" w:hAnsi="仿宋"/>
                <w:color w:val="auto"/>
                <w:sz w:val="22"/>
                <w:szCs w:val="22"/>
                <w:highlight w:val="none"/>
              </w:rPr>
              <w:t>(13)人员、业绩、履约信誉证明材料真实。</w:t>
            </w:r>
          </w:p>
        </w:tc>
        <w:tc>
          <w:tcPr>
            <w:tcW w:w="4907" w:type="dxa"/>
            <w:shd w:val="clear" w:color="auto" w:fill="auto"/>
            <w:vAlign w:val="center"/>
          </w:tcPr>
          <w:p>
            <w:pPr>
              <w:ind w:firstLine="214" w:firstLineChars="100"/>
              <w:rPr>
                <w:rFonts w:hint="eastAsia" w:ascii="仿宋_GB2312" w:hAnsi="黑体"/>
                <w:b/>
                <w:bCs/>
                <w:color w:val="auto"/>
                <w:sz w:val="22"/>
                <w:szCs w:val="22"/>
                <w:highlight w:val="none"/>
              </w:rPr>
            </w:pPr>
            <w:r>
              <w:rPr>
                <w:rFonts w:hint="eastAsia" w:ascii="仿宋_GB2312" w:hAnsi="仿宋"/>
                <w:color w:val="auto"/>
                <w:sz w:val="22"/>
                <w:szCs w:val="22"/>
                <w:highlight w:val="none"/>
              </w:rPr>
              <w:t>(13)人员、业绩、履约信誉证明材料真实</w:t>
            </w:r>
            <w:r>
              <w:rPr>
                <w:rFonts w:hint="eastAsia" w:ascii="仿宋_GB2312" w:hAnsi="仿宋"/>
                <w:b/>
                <w:bCs/>
                <w:color w:val="auto"/>
                <w:sz w:val="22"/>
                <w:szCs w:val="22"/>
                <w:highlight w:val="none"/>
              </w:rPr>
              <w:t>、有效。</w:t>
            </w:r>
          </w:p>
        </w:tc>
        <w:tc>
          <w:tcPr>
            <w:tcW w:w="2130" w:type="dxa"/>
            <w:shd w:val="clear" w:color="auto" w:fill="auto"/>
            <w:vAlign w:val="center"/>
          </w:tcPr>
          <w:p>
            <w:pPr>
              <w:pStyle w:val="11"/>
              <w:shd w:val="clear" w:color="auto" w:fill="FFFFFF"/>
              <w:spacing w:before="0" w:beforeAutospacing="0" w:after="0" w:afterAutospacing="0" w:line="300" w:lineRule="exact"/>
              <w:rPr>
                <w:rFonts w:hint="eastAsia" w:ascii="仿宋_GB2312" w:hAnsi="仿宋" w:eastAsia="仿宋_GB2312" w:cs="仿宋"/>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644" w:type="dxa"/>
            <w:shd w:val="clear" w:color="auto" w:fill="auto"/>
            <w:vAlign w:val="center"/>
          </w:tcPr>
          <w:p>
            <w:pPr>
              <w:spacing w:line="300" w:lineRule="exact"/>
              <w:jc w:val="center"/>
              <w:rPr>
                <w:rFonts w:hint="eastAsia" w:ascii="仿宋_GB2312" w:hAnsi="黑体"/>
                <w:color w:val="auto"/>
                <w:sz w:val="22"/>
                <w:szCs w:val="22"/>
                <w:highlight w:val="none"/>
              </w:rPr>
            </w:pPr>
            <w:r>
              <w:rPr>
                <w:rFonts w:hint="eastAsia" w:ascii="仿宋_GB2312" w:hAnsi="黑体"/>
                <w:color w:val="auto"/>
                <w:sz w:val="22"/>
                <w:szCs w:val="22"/>
                <w:highlight w:val="none"/>
              </w:rPr>
              <w:t>14★</w:t>
            </w:r>
          </w:p>
        </w:tc>
        <w:tc>
          <w:tcPr>
            <w:tcW w:w="1326" w:type="dxa"/>
            <w:shd w:val="clear" w:color="auto" w:fill="auto"/>
            <w:vAlign w:val="center"/>
          </w:tcPr>
          <w:p>
            <w:pPr>
              <w:spacing w:line="300" w:lineRule="exact"/>
              <w:rPr>
                <w:rFonts w:hint="eastAsia" w:ascii="仿宋_GB2312" w:hAnsi="仿宋" w:eastAsia="仿宋_GB2312"/>
                <w:b w:val="0"/>
                <w:bCs w:val="0"/>
                <w:color w:val="auto"/>
                <w:sz w:val="22"/>
                <w:szCs w:val="22"/>
                <w:highlight w:val="none"/>
              </w:rPr>
            </w:pPr>
            <w:r>
              <w:rPr>
                <w:rFonts w:hint="eastAsia" w:ascii="仿宋_GB2312" w:hAnsi="黑体"/>
                <w:b/>
                <w:bCs/>
                <w:color w:val="auto"/>
                <w:sz w:val="22"/>
                <w:szCs w:val="22"/>
                <w:highlight w:val="none"/>
              </w:rPr>
              <w:t xml:space="preserve">第三章 </w:t>
            </w:r>
            <w:r>
              <w:rPr>
                <w:rFonts w:hint="eastAsia" w:ascii="仿宋_GB2312" w:hAnsi="黑体"/>
                <w:b/>
                <w:bCs/>
                <w:color w:val="auto"/>
                <w:sz w:val="22"/>
                <w:szCs w:val="22"/>
                <w:highlight w:val="none"/>
                <w:lang w:eastAsia="zh-CN"/>
              </w:rPr>
              <w:t>评标办法</w:t>
            </w:r>
            <w:r>
              <w:rPr>
                <w:rFonts w:hint="eastAsia" w:ascii="仿宋_GB2312" w:hAnsi="黑体"/>
                <w:b/>
                <w:bCs/>
                <w:color w:val="auto"/>
                <w:sz w:val="22"/>
                <w:szCs w:val="22"/>
                <w:highlight w:val="none"/>
                <w:lang w:val="en-US" w:eastAsia="zh-CN"/>
              </w:rPr>
              <w:t>[</w:t>
            </w:r>
            <w:r>
              <w:rPr>
                <w:rFonts w:hint="eastAsia" w:ascii="仿宋_GB2312" w:hAnsi="黑体"/>
                <w:b/>
                <w:bCs/>
                <w:color w:val="auto"/>
                <w:sz w:val="22"/>
                <w:szCs w:val="22"/>
                <w:highlight w:val="none"/>
              </w:rPr>
              <w:t>技术通过制的合理低价法</w:t>
            </w:r>
            <w:r>
              <w:rPr>
                <w:rFonts w:hint="eastAsia" w:ascii="仿宋_GB2312" w:hAnsi="黑体"/>
                <w:b/>
                <w:bCs/>
                <w:color w:val="auto"/>
                <w:sz w:val="22"/>
                <w:szCs w:val="22"/>
                <w:highlight w:val="none"/>
                <w:lang w:val="en-US" w:eastAsia="zh-CN"/>
              </w:rPr>
              <w:t>]前附表</w:t>
            </w:r>
            <w:r>
              <w:rPr>
                <w:rFonts w:hint="eastAsia" w:ascii="仿宋_GB2312" w:hAnsi="黑体"/>
                <w:b/>
                <w:bCs/>
                <w:color w:val="auto"/>
                <w:sz w:val="22"/>
                <w:szCs w:val="22"/>
                <w:highlight w:val="none"/>
              </w:rPr>
              <w:t>第2.2.</w:t>
            </w:r>
            <w:r>
              <w:rPr>
                <w:rFonts w:hint="eastAsia" w:ascii="仿宋_GB2312" w:hAnsi="黑体"/>
                <w:b/>
                <w:bCs/>
                <w:color w:val="auto"/>
                <w:sz w:val="22"/>
                <w:szCs w:val="22"/>
                <w:highlight w:val="none"/>
                <w:lang w:val="en-US" w:eastAsia="zh-CN"/>
              </w:rPr>
              <w:t>2</w:t>
            </w:r>
          </w:p>
        </w:tc>
        <w:tc>
          <w:tcPr>
            <w:tcW w:w="4912" w:type="dxa"/>
            <w:shd w:val="clear" w:color="auto" w:fill="auto"/>
            <w:vAlign w:val="center"/>
          </w:tcPr>
          <w:p>
            <w:pPr>
              <w:spacing w:line="300" w:lineRule="exact"/>
              <w:rPr>
                <w:rFonts w:hint="eastAsia" w:ascii="仿宋_GB2312" w:hAnsi="仿宋" w:cs="仿宋"/>
                <w:color w:val="auto"/>
                <w:sz w:val="22"/>
                <w:szCs w:val="22"/>
                <w:highlight w:val="none"/>
                <w:lang w:eastAsia="zh-CN"/>
              </w:rPr>
            </w:pPr>
            <w:r>
              <w:rPr>
                <w:rFonts w:hint="eastAsia" w:ascii="仿宋_GB2312" w:hAnsi="黑体"/>
                <w:color w:val="auto"/>
                <w:sz w:val="22"/>
                <w:szCs w:val="22"/>
                <w:highlight w:val="none"/>
              </w:rPr>
              <w:t>B值：</w:t>
            </w:r>
            <w:r>
              <w:rPr>
                <w:rFonts w:hint="eastAsia" w:ascii="仿宋_GB2312" w:hAnsi="黑体"/>
                <w:b/>
                <w:bCs/>
                <w:color w:val="auto"/>
                <w:sz w:val="22"/>
                <w:szCs w:val="22"/>
                <w:highlight w:val="none"/>
                <w:u w:val="none"/>
              </w:rPr>
              <w:t>开标时在下述两种方案种随机抽取</w:t>
            </w:r>
            <w:r>
              <w:rPr>
                <w:rFonts w:hint="eastAsia" w:ascii="仿宋_GB2312" w:hAnsi="黑体"/>
                <w:b/>
                <w:bCs/>
                <w:color w:val="auto"/>
                <w:sz w:val="22"/>
                <w:szCs w:val="22"/>
                <w:highlight w:val="none"/>
              </w:rPr>
              <w:t>。</w:t>
            </w:r>
          </w:p>
        </w:tc>
        <w:tc>
          <w:tcPr>
            <w:tcW w:w="4907" w:type="dxa"/>
            <w:shd w:val="clear" w:color="auto" w:fill="auto"/>
            <w:vAlign w:val="center"/>
          </w:tcPr>
          <w:p>
            <w:pPr>
              <w:spacing w:line="300" w:lineRule="exact"/>
              <w:rPr>
                <w:rFonts w:ascii="仿宋_GB2312" w:hAnsi="黑体"/>
                <w:color w:val="auto"/>
                <w:sz w:val="22"/>
                <w:szCs w:val="22"/>
                <w:highlight w:val="none"/>
              </w:rPr>
            </w:pPr>
            <w:r>
              <w:rPr>
                <w:rFonts w:hint="eastAsia" w:ascii="仿宋_GB2312" w:hAnsi="黑体"/>
                <w:color w:val="auto"/>
                <w:sz w:val="22"/>
                <w:szCs w:val="22"/>
                <w:highlight w:val="none"/>
              </w:rPr>
              <w:t>B值：</w:t>
            </w:r>
            <w:r>
              <w:rPr>
                <w:rFonts w:hint="eastAsia" w:ascii="仿宋_GB2312" w:hAnsi="黑体"/>
                <w:b/>
                <w:bCs/>
                <w:color w:val="auto"/>
                <w:sz w:val="22"/>
                <w:szCs w:val="22"/>
                <w:highlight w:val="none"/>
                <w:u w:val="none"/>
              </w:rPr>
              <w:t>方案一。</w:t>
            </w:r>
          </w:p>
          <w:p>
            <w:pPr>
              <w:spacing w:line="300" w:lineRule="exact"/>
              <w:rPr>
                <w:rFonts w:hint="eastAsia" w:ascii="仿宋_GB2312" w:hAnsi="仿宋" w:cs="仿宋"/>
                <w:color w:val="auto"/>
                <w:sz w:val="22"/>
                <w:szCs w:val="22"/>
                <w:highlight w:val="none"/>
                <w:lang w:eastAsia="zh-CN"/>
              </w:rPr>
            </w:pPr>
            <w:r>
              <w:rPr>
                <w:rFonts w:hint="eastAsia" w:ascii="仿宋_GB2312" w:hAnsi="黑体"/>
                <w:b/>
                <w:bCs/>
                <w:color w:val="auto"/>
                <w:sz w:val="22"/>
                <w:szCs w:val="22"/>
                <w:highlight w:val="none"/>
              </w:rPr>
              <w:t>删除b.B值计算方案二。</w:t>
            </w:r>
          </w:p>
        </w:tc>
        <w:tc>
          <w:tcPr>
            <w:tcW w:w="2130" w:type="dxa"/>
            <w:shd w:val="clear" w:color="auto" w:fill="auto"/>
            <w:vAlign w:val="center"/>
          </w:tcPr>
          <w:p>
            <w:pPr>
              <w:pStyle w:val="11"/>
              <w:shd w:val="clear" w:color="auto" w:fill="FFFFFF"/>
              <w:spacing w:before="0" w:beforeAutospacing="0" w:after="150" w:afterAutospacing="0" w:line="300" w:lineRule="exact"/>
              <w:jc w:val="center"/>
              <w:rPr>
                <w:rFonts w:hint="eastAsia" w:ascii="仿宋_GB2312" w:hAnsi="仿宋" w:eastAsia="仿宋_GB2312" w:cs="仿宋"/>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644" w:type="dxa"/>
            <w:shd w:val="clear" w:color="auto" w:fill="auto"/>
            <w:vAlign w:val="center"/>
          </w:tcPr>
          <w:p>
            <w:pPr>
              <w:spacing w:line="300" w:lineRule="exact"/>
              <w:jc w:val="center"/>
              <w:rPr>
                <w:rFonts w:ascii="仿宋_GB2312" w:hAnsi="黑体"/>
                <w:color w:val="auto"/>
                <w:sz w:val="22"/>
                <w:szCs w:val="22"/>
                <w:highlight w:val="none"/>
              </w:rPr>
            </w:pPr>
            <w:r>
              <w:rPr>
                <w:rFonts w:hint="eastAsia" w:ascii="仿宋_GB2312" w:hAnsi="黑体"/>
                <w:color w:val="auto"/>
                <w:sz w:val="22"/>
                <w:szCs w:val="22"/>
                <w:highlight w:val="none"/>
              </w:rPr>
              <w:t>1</w:t>
            </w:r>
            <w:r>
              <w:rPr>
                <w:rFonts w:hint="eastAsia" w:ascii="仿宋_GB2312" w:hAnsi="黑体"/>
                <w:color w:val="auto"/>
                <w:sz w:val="22"/>
                <w:szCs w:val="22"/>
                <w:highlight w:val="none"/>
                <w:lang w:val="en-US" w:eastAsia="zh-CN"/>
              </w:rPr>
              <w:t>5</w:t>
            </w:r>
            <w:r>
              <w:rPr>
                <w:rFonts w:hint="eastAsia" w:ascii="仿宋_GB2312" w:hAnsi="黑体"/>
                <w:color w:val="auto"/>
                <w:sz w:val="22"/>
                <w:szCs w:val="22"/>
                <w:highlight w:val="none"/>
              </w:rPr>
              <w:t>★</w:t>
            </w:r>
          </w:p>
        </w:tc>
        <w:tc>
          <w:tcPr>
            <w:tcW w:w="1326" w:type="dxa"/>
            <w:shd w:val="clear" w:color="auto" w:fill="auto"/>
            <w:vAlign w:val="center"/>
          </w:tcPr>
          <w:p>
            <w:pPr>
              <w:pStyle w:val="2"/>
              <w:spacing w:line="300" w:lineRule="exact"/>
              <w:jc w:val="left"/>
              <w:rPr>
                <w:rFonts w:ascii="仿宋_GB2312" w:hAnsi="黑体" w:eastAsia="仿宋_GB2312"/>
                <w:b w:val="0"/>
                <w:bCs w:val="0"/>
                <w:color w:val="auto"/>
                <w:kern w:val="2"/>
                <w:sz w:val="22"/>
                <w:szCs w:val="22"/>
                <w:highlight w:val="none"/>
                <w:lang w:val="en-US"/>
              </w:rPr>
            </w:pPr>
            <w:r>
              <w:rPr>
                <w:rFonts w:hint="eastAsia" w:ascii="仿宋_GB2312" w:hAnsi="仿宋" w:eastAsia="仿宋_GB2312"/>
                <w:b w:val="0"/>
                <w:bCs w:val="0"/>
                <w:color w:val="auto"/>
                <w:sz w:val="22"/>
                <w:szCs w:val="22"/>
                <w:highlight w:val="none"/>
              </w:rPr>
              <w:t>第三章 评标办法</w:t>
            </w:r>
            <w:r>
              <w:rPr>
                <w:rFonts w:hint="eastAsia" w:ascii="仿宋_GB2312" w:hAnsi="仿宋" w:eastAsia="仿宋_GB2312"/>
                <w:b w:val="0"/>
                <w:bCs w:val="0"/>
                <w:color w:val="auto"/>
                <w:sz w:val="22"/>
                <w:szCs w:val="22"/>
                <w:highlight w:val="none"/>
                <w:lang w:val="en-US" w:eastAsia="zh-CN"/>
              </w:rPr>
              <w:t>[技术通过制的合理低价法]</w:t>
            </w:r>
            <w:r>
              <w:rPr>
                <w:rFonts w:hint="eastAsia" w:ascii="仿宋_GB2312" w:hAnsi="仿宋" w:eastAsia="仿宋_GB2312"/>
                <w:b w:val="0"/>
                <w:bCs w:val="0"/>
                <w:color w:val="auto"/>
                <w:sz w:val="22"/>
                <w:szCs w:val="22"/>
                <w:highlight w:val="none"/>
              </w:rPr>
              <w:t>前附表第2.2.4（2）目第1、2、3、5、6点</w:t>
            </w:r>
          </w:p>
        </w:tc>
        <w:tc>
          <w:tcPr>
            <w:tcW w:w="4912" w:type="dxa"/>
            <w:shd w:val="clear" w:color="auto" w:fill="auto"/>
            <w:vAlign w:val="center"/>
          </w:tcPr>
          <w:p>
            <w:pPr>
              <w:widowControl/>
              <w:jc w:val="left"/>
              <w:rPr>
                <w:rFonts w:ascii="仿宋_GB2312" w:hAnsi="仿宋" w:cs="仿宋"/>
                <w:color w:val="auto"/>
                <w:sz w:val="22"/>
                <w:szCs w:val="22"/>
                <w:highlight w:val="none"/>
              </w:rPr>
            </w:pPr>
            <w:r>
              <w:rPr>
                <w:rFonts w:hint="eastAsia" w:ascii="仿宋_GB2312"/>
                <w:color w:val="auto"/>
                <w:sz w:val="22"/>
                <w:szCs w:val="22"/>
                <w:highlight w:val="none"/>
              </w:rPr>
              <w:t>（1）</w:t>
            </w:r>
            <w:r>
              <w:rPr>
                <w:rFonts w:hint="eastAsia" w:ascii="仿宋_GB2312" w:hAnsi="仿宋" w:cs="仿宋"/>
                <w:color w:val="auto"/>
                <w:sz w:val="22"/>
                <w:szCs w:val="22"/>
                <w:highlight w:val="none"/>
              </w:rPr>
              <w:t>人员信息公开得分：下列人员信息在浙江省交通运输信用综合管理服务系统中已全部公开，且投标文件中提供了带有系统水印的《主要人员信息一览表》打印件的，得0.5分；</w:t>
            </w:r>
          </w:p>
          <w:p>
            <w:pPr>
              <w:widowControl/>
              <w:jc w:val="left"/>
              <w:rPr>
                <w:rFonts w:ascii="仿宋_GB2312" w:hAnsi="仿宋" w:cs="仿宋"/>
                <w:color w:val="auto"/>
                <w:sz w:val="22"/>
                <w:szCs w:val="22"/>
                <w:highlight w:val="none"/>
              </w:rPr>
            </w:pPr>
            <w:r>
              <w:rPr>
                <w:rFonts w:hint="eastAsia" w:ascii="仿宋_GB2312" w:hAnsi="仿宋" w:cs="仿宋"/>
                <w:color w:val="auto"/>
                <w:sz w:val="22"/>
                <w:szCs w:val="22"/>
                <w:highlight w:val="none"/>
              </w:rPr>
              <w:t>（2）企业信用评价结果得分</w:t>
            </w:r>
            <w:r>
              <w:rPr>
                <w:rFonts w:hint="eastAsia" w:ascii="仿宋_GB2312" w:hAnsi="仿宋" w:cs="仿宋"/>
                <w:color w:val="auto"/>
                <w:sz w:val="22"/>
                <w:szCs w:val="22"/>
                <w:highlight w:val="none"/>
                <w:vertAlign w:val="superscript"/>
              </w:rPr>
              <w:t>③</w:t>
            </w:r>
          </w:p>
          <w:p>
            <w:pPr>
              <w:widowControl/>
              <w:ind w:firstLine="428" w:firstLineChars="200"/>
              <w:jc w:val="left"/>
              <w:rPr>
                <w:rFonts w:ascii="仿宋_GB2312" w:hAnsi="仿宋" w:cs="仿宋"/>
                <w:color w:val="auto"/>
                <w:sz w:val="22"/>
                <w:szCs w:val="22"/>
                <w:highlight w:val="none"/>
              </w:rPr>
            </w:pPr>
            <w:r>
              <w:rPr>
                <w:rFonts w:hint="eastAsia" w:ascii="仿宋_GB2312" w:hAnsi="仿宋" w:cs="仿宋"/>
                <w:color w:val="auto"/>
                <w:sz w:val="22"/>
                <w:szCs w:val="22"/>
                <w:highlight w:val="none"/>
              </w:rPr>
              <w:t>③房建等附属设施招标时不适用；若同时认可市政、铁路等行业业绩的，企业信用评价结果得分可不作要求。在《浙江省公路水运建设工程从业主体信用评价管理细则》施行且发布首次信用评价结果后，本条a修改为：AA、A级投标人在投标中选择使用信用等级得分且有效的（投标截止日信用等级为AA、A级时可使用。《信用评价结果使用承诺书》中载明有效期，开标时《信用评价结果使用承诺书》应在有效期内）信用等级得分为0.5分（无效或未使用的得0分）；B级得分为0分；C级得分为-0.5分；D级得分为-5分。</w:t>
            </w:r>
          </w:p>
          <w:p>
            <w:pPr>
              <w:widowControl/>
              <w:jc w:val="left"/>
              <w:rPr>
                <w:rFonts w:ascii="仿宋_GB2312" w:hAnsi="仿宋" w:cs="仿宋"/>
                <w:color w:val="auto"/>
                <w:sz w:val="22"/>
                <w:szCs w:val="22"/>
                <w:highlight w:val="none"/>
              </w:rPr>
            </w:pPr>
            <w:r>
              <w:rPr>
                <w:rFonts w:hint="eastAsia" w:ascii="仿宋_GB2312" w:hAnsi="仿宋" w:cs="仿宋"/>
                <w:color w:val="auto"/>
                <w:sz w:val="22"/>
                <w:szCs w:val="22"/>
                <w:highlight w:val="none"/>
              </w:rPr>
              <w:t>□（3）主要人员信用评价得分</w:t>
            </w:r>
            <w:r>
              <w:rPr>
                <w:rFonts w:hint="eastAsia" w:ascii="仿宋_GB2312" w:hAnsi="仿宋" w:cs="仿宋"/>
                <w:color w:val="auto"/>
                <w:sz w:val="22"/>
                <w:szCs w:val="22"/>
                <w:highlight w:val="none"/>
                <w:vertAlign w:val="superscript"/>
              </w:rPr>
              <w:t>①</w:t>
            </w:r>
            <w:r>
              <w:rPr>
                <w:rFonts w:hint="eastAsia" w:ascii="仿宋_GB2312" w:hAnsi="仿宋" w:cs="仿宋"/>
                <w:color w:val="auto"/>
                <w:sz w:val="22"/>
                <w:szCs w:val="22"/>
                <w:highlight w:val="none"/>
              </w:rPr>
              <w:t>：根据浙江省交通运输厅公布的信用评价结果，拟任项目经理为AA的得0.3分，得A的得0.1分，其余等级或未参加的不得分；拟任项目技术负责人为AA的得0.1分，其余等级或未参加的不得分；拟任安全负责人为AA的得0.1分，其余等级或未参加的不得分；</w:t>
            </w:r>
          </w:p>
          <w:p>
            <w:pPr>
              <w:widowControl/>
              <w:ind w:firstLine="428" w:firstLineChars="200"/>
              <w:jc w:val="left"/>
              <w:rPr>
                <w:rFonts w:ascii="仿宋_GB2312" w:hAnsi="仿宋" w:cs="仿宋"/>
                <w:color w:val="auto"/>
                <w:sz w:val="22"/>
                <w:szCs w:val="22"/>
                <w:highlight w:val="none"/>
              </w:rPr>
            </w:pPr>
            <w:r>
              <w:rPr>
                <w:rFonts w:hint="eastAsia" w:ascii="仿宋_GB2312" w:hAnsi="仿宋" w:cs="仿宋"/>
                <w:color w:val="auto"/>
                <w:sz w:val="22"/>
                <w:szCs w:val="22"/>
                <w:highlight w:val="none"/>
              </w:rPr>
              <w:t>①房建等附属设施招标时不适用。</w:t>
            </w:r>
          </w:p>
          <w:p>
            <w:pPr>
              <w:widowControl/>
              <w:numPr>
                <w:ilvl w:val="0"/>
                <w:numId w:val="2"/>
              </w:numPr>
              <w:jc w:val="left"/>
              <w:rPr>
                <w:rFonts w:ascii="仿宋_GB2312" w:hAnsi="仿宋" w:cs="仿宋"/>
                <w:color w:val="auto"/>
                <w:sz w:val="22"/>
                <w:szCs w:val="22"/>
                <w:highlight w:val="none"/>
              </w:rPr>
            </w:pPr>
            <w:r>
              <w:rPr>
                <w:rFonts w:hint="eastAsia" w:ascii="仿宋_GB2312" w:hAnsi="仿宋" w:cs="仿宋"/>
                <w:color w:val="auto"/>
                <w:sz w:val="22"/>
                <w:szCs w:val="22"/>
                <w:highlight w:val="none"/>
              </w:rPr>
              <w:t>近三年（_____年___月1日以来），投标人或拟委任的项目经理在工程建设领域中，有行贿行为未构成犯罪的，如实填报的扣1分，隐瞒不报的一经查实，作否决投标处理，并视为投标人提供虚假资料，按投标人须知第3.5.11项处理；</w:t>
            </w:r>
          </w:p>
          <w:p>
            <w:pPr>
              <w:spacing w:line="300" w:lineRule="exact"/>
              <w:jc w:val="left"/>
              <w:rPr>
                <w:rFonts w:ascii="仿宋_GB2312" w:hAnsi="黑体"/>
                <w:color w:val="auto"/>
                <w:sz w:val="22"/>
                <w:szCs w:val="22"/>
                <w:highlight w:val="none"/>
              </w:rPr>
            </w:pPr>
            <w:r>
              <w:rPr>
                <w:rFonts w:hint="eastAsia" w:ascii="仿宋_GB2312" w:hAnsi="仿宋" w:cs="仿宋"/>
                <w:color w:val="auto"/>
                <w:sz w:val="22"/>
                <w:szCs w:val="22"/>
                <w:highlight w:val="none"/>
                <w:lang w:eastAsia="zh-CN"/>
              </w:rPr>
              <w:t>（</w:t>
            </w:r>
            <w:r>
              <w:rPr>
                <w:rFonts w:hint="eastAsia" w:ascii="仿宋_GB2312" w:hAnsi="仿宋" w:cs="仿宋"/>
                <w:color w:val="auto"/>
                <w:sz w:val="22"/>
                <w:szCs w:val="22"/>
                <w:highlight w:val="none"/>
                <w:lang w:val="en-US" w:eastAsia="zh-CN"/>
              </w:rPr>
              <w:t>6</w:t>
            </w:r>
            <w:r>
              <w:rPr>
                <w:rFonts w:hint="eastAsia" w:ascii="仿宋_GB2312" w:hAnsi="仿宋" w:cs="仿宋"/>
                <w:color w:val="auto"/>
                <w:sz w:val="22"/>
                <w:szCs w:val="22"/>
                <w:highlight w:val="none"/>
                <w:lang w:eastAsia="zh-CN"/>
              </w:rPr>
              <w:t>）</w:t>
            </w:r>
            <w:r>
              <w:rPr>
                <w:rFonts w:hint="eastAsia" w:ascii="仿宋_GB2312" w:hAnsi="仿宋" w:cs="仿宋"/>
                <w:color w:val="auto"/>
                <w:sz w:val="22"/>
                <w:szCs w:val="22"/>
                <w:highlight w:val="none"/>
              </w:rPr>
              <w:t>投标人列入失信黑名单（以“信用中国”（http://www.creditchina.gov.cn/）联合惩戒栏目中失信人黑名单查询结果为准）但未被限制投标的，如实填报扣1分，隐瞒不报的一经查实，作否决投标处理，并视为投标人提供虚假资料，按投标人须知第3.5.11项处理。</w:t>
            </w:r>
          </w:p>
        </w:tc>
        <w:tc>
          <w:tcPr>
            <w:tcW w:w="4907" w:type="dxa"/>
            <w:shd w:val="clear" w:color="auto" w:fill="auto"/>
            <w:vAlign w:val="center"/>
          </w:tcPr>
          <w:p>
            <w:pPr>
              <w:widowControl/>
              <w:jc w:val="left"/>
              <w:rPr>
                <w:rFonts w:ascii="仿宋_GB2312" w:hAnsi="仿宋" w:cs="仿宋"/>
                <w:color w:val="auto"/>
                <w:sz w:val="22"/>
                <w:szCs w:val="22"/>
                <w:highlight w:val="none"/>
              </w:rPr>
            </w:pPr>
            <w:r>
              <w:rPr>
                <w:rFonts w:hint="eastAsia" w:ascii="仿宋_GB2312"/>
                <w:color w:val="auto"/>
                <w:sz w:val="22"/>
                <w:szCs w:val="22"/>
                <w:highlight w:val="none"/>
              </w:rPr>
              <w:t>（1）</w:t>
            </w:r>
            <w:r>
              <w:rPr>
                <w:rFonts w:hint="eastAsia" w:ascii="仿宋_GB2312" w:hAnsi="仿宋" w:cs="仿宋"/>
                <w:color w:val="auto"/>
                <w:sz w:val="22"/>
                <w:szCs w:val="22"/>
                <w:highlight w:val="none"/>
              </w:rPr>
              <w:t>人员信息公开得分：</w:t>
            </w:r>
            <w:r>
              <w:rPr>
                <w:rFonts w:hint="eastAsia" w:ascii="仿宋_GB2312" w:hAnsi="仿宋" w:cs="仿宋"/>
                <w:b/>
                <w:bCs/>
                <w:color w:val="auto"/>
                <w:sz w:val="22"/>
                <w:szCs w:val="22"/>
                <w:highlight w:val="none"/>
              </w:rPr>
              <w:t>投标截止日，</w:t>
            </w:r>
            <w:r>
              <w:rPr>
                <w:rFonts w:hint="eastAsia" w:ascii="仿宋_GB2312" w:hAnsi="仿宋" w:cs="仿宋"/>
                <w:color w:val="auto"/>
                <w:sz w:val="22"/>
                <w:szCs w:val="22"/>
                <w:highlight w:val="none"/>
              </w:rPr>
              <w:t>下列人员信息在浙江省交通运输信用综合管理服务系统中已全部公开，且投标文件中提供了带有系统水印的《主要人员信息一览表》打印件的，得0.5分；</w:t>
            </w:r>
          </w:p>
          <w:p>
            <w:pPr>
              <w:widowControl/>
              <w:jc w:val="left"/>
              <w:rPr>
                <w:rFonts w:ascii="仿宋_GB2312" w:hAnsi="仿宋" w:cs="仿宋"/>
                <w:color w:val="auto"/>
                <w:sz w:val="22"/>
                <w:szCs w:val="22"/>
                <w:highlight w:val="none"/>
              </w:rPr>
            </w:pPr>
            <w:r>
              <w:rPr>
                <w:rFonts w:hint="eastAsia" w:ascii="仿宋_GB2312" w:hAnsi="仿宋" w:cs="仿宋"/>
                <w:color w:val="auto"/>
                <w:sz w:val="22"/>
                <w:szCs w:val="22"/>
                <w:highlight w:val="none"/>
              </w:rPr>
              <w:t>（2）企业信用评价结果得分</w:t>
            </w:r>
            <w:r>
              <w:rPr>
                <w:rFonts w:hint="eastAsia" w:ascii="仿宋_GB2312" w:hAnsi="仿宋" w:cs="仿宋"/>
                <w:color w:val="auto"/>
                <w:sz w:val="22"/>
                <w:szCs w:val="22"/>
                <w:highlight w:val="none"/>
                <w:vertAlign w:val="superscript"/>
              </w:rPr>
              <w:t>③</w:t>
            </w:r>
          </w:p>
          <w:p>
            <w:pPr>
              <w:ind w:firstLine="428" w:firstLineChars="200"/>
              <w:jc w:val="left"/>
              <w:rPr>
                <w:rFonts w:ascii="仿宋_GB2312" w:hAnsi="仿宋" w:cs="仿宋"/>
                <w:color w:val="auto"/>
                <w:sz w:val="22"/>
                <w:szCs w:val="22"/>
                <w:highlight w:val="none"/>
              </w:rPr>
            </w:pPr>
            <w:r>
              <w:rPr>
                <w:rFonts w:hint="eastAsia" w:ascii="仿宋_GB2312" w:hAnsi="仿宋" w:cs="仿宋"/>
                <w:color w:val="auto"/>
                <w:sz w:val="22"/>
                <w:szCs w:val="22"/>
                <w:highlight w:val="none"/>
              </w:rPr>
              <w:t>③房建等附属设施招标时不适用；若同时认可市政、铁路等行业业绩的，企业信用评价结果得分可不作要求。</w:t>
            </w:r>
            <w:r>
              <w:rPr>
                <w:rFonts w:hint="eastAsia" w:ascii="仿宋_GB2312" w:hAnsi="仿宋" w:cs="仿宋"/>
                <w:b/>
                <w:bCs/>
                <w:color w:val="auto"/>
                <w:sz w:val="22"/>
                <w:szCs w:val="22"/>
                <w:highlight w:val="none"/>
              </w:rPr>
              <w:t>与信用等级相关联的企业资质应与招标资格审查条件（资质最低要求）相适应。</w:t>
            </w:r>
          </w:p>
          <w:p>
            <w:pPr>
              <w:jc w:val="left"/>
              <w:rPr>
                <w:rFonts w:ascii="仿宋_GB2312" w:hAnsi="仿宋" w:cs="仿宋"/>
                <w:color w:val="auto"/>
                <w:sz w:val="22"/>
                <w:szCs w:val="22"/>
                <w:highlight w:val="none"/>
              </w:rPr>
            </w:pPr>
            <w:r>
              <w:rPr>
                <w:rFonts w:hint="eastAsia" w:ascii="仿宋_GB2312" w:hAnsi="仿宋" w:cs="仿宋"/>
                <w:color w:val="auto"/>
                <w:sz w:val="22"/>
                <w:szCs w:val="22"/>
                <w:highlight w:val="none"/>
              </w:rPr>
              <w:t>□（3）主要人员信用评价得分</w:t>
            </w:r>
            <w:r>
              <w:rPr>
                <w:rFonts w:hint="eastAsia" w:ascii="仿宋_GB2312" w:hAnsi="仿宋" w:cs="仿宋"/>
                <w:color w:val="auto"/>
                <w:sz w:val="22"/>
                <w:szCs w:val="22"/>
                <w:highlight w:val="none"/>
                <w:vertAlign w:val="superscript"/>
              </w:rPr>
              <w:t>①</w:t>
            </w:r>
            <w:r>
              <w:rPr>
                <w:rFonts w:hint="eastAsia" w:ascii="仿宋_GB2312" w:hAnsi="仿宋" w:cs="仿宋"/>
                <w:color w:val="auto"/>
                <w:sz w:val="22"/>
                <w:szCs w:val="22"/>
                <w:highlight w:val="none"/>
              </w:rPr>
              <w:t>：根据浙江省交通运输厅公布的信用评价结果，拟任项目经理为</w:t>
            </w:r>
            <w:r>
              <w:rPr>
                <w:rFonts w:hint="eastAsia" w:ascii="仿宋_GB2312" w:hAnsi="仿宋" w:cs="仿宋"/>
                <w:b/>
                <w:bCs/>
                <w:color w:val="auto"/>
                <w:sz w:val="22"/>
                <w:szCs w:val="22"/>
                <w:highlight w:val="none"/>
              </w:rPr>
              <w:t>AA级的得0.3分，为A级的得0.15分，为D级的得-2分，</w:t>
            </w:r>
            <w:r>
              <w:rPr>
                <w:rFonts w:hint="eastAsia" w:ascii="仿宋_GB2312" w:hAnsi="仿宋" w:cs="仿宋"/>
                <w:color w:val="auto"/>
                <w:sz w:val="22"/>
                <w:szCs w:val="22"/>
                <w:highlight w:val="none"/>
              </w:rPr>
              <w:t>其余等级或未参加的得0分；拟任项目技术负责人为</w:t>
            </w:r>
            <w:r>
              <w:rPr>
                <w:rFonts w:hint="eastAsia" w:ascii="仿宋_GB2312" w:hAnsi="仿宋" w:cs="仿宋"/>
                <w:b/>
                <w:bCs/>
                <w:color w:val="auto"/>
                <w:sz w:val="22"/>
                <w:szCs w:val="22"/>
                <w:highlight w:val="none"/>
              </w:rPr>
              <w:t>AA级的得0.1分，为A级的得0.05分，为D级的得-1分</w:t>
            </w:r>
            <w:r>
              <w:rPr>
                <w:rFonts w:hint="eastAsia" w:ascii="仿宋_GB2312" w:hAnsi="仿宋" w:cs="仿宋"/>
                <w:color w:val="auto"/>
                <w:sz w:val="22"/>
                <w:szCs w:val="22"/>
                <w:highlight w:val="none"/>
              </w:rPr>
              <w:t>，其余等级或未参加的得0分；拟任安全负责人为</w:t>
            </w:r>
            <w:r>
              <w:rPr>
                <w:rFonts w:hint="eastAsia" w:ascii="仿宋_GB2312" w:hAnsi="仿宋" w:cs="仿宋"/>
                <w:b/>
                <w:bCs/>
                <w:color w:val="auto"/>
                <w:sz w:val="22"/>
                <w:szCs w:val="22"/>
                <w:highlight w:val="none"/>
              </w:rPr>
              <w:t>AA级的得0.1分，为A级的得0.05分，为D级的得-1分，</w:t>
            </w:r>
            <w:r>
              <w:rPr>
                <w:rFonts w:hint="eastAsia" w:ascii="仿宋_GB2312" w:hAnsi="仿宋" w:cs="仿宋"/>
                <w:color w:val="auto"/>
                <w:sz w:val="22"/>
                <w:szCs w:val="22"/>
                <w:highlight w:val="none"/>
              </w:rPr>
              <w:t>其余等级或未参加的得0分；</w:t>
            </w:r>
          </w:p>
          <w:p>
            <w:pPr>
              <w:ind w:firstLine="428" w:firstLineChars="200"/>
              <w:jc w:val="left"/>
              <w:rPr>
                <w:rFonts w:ascii="仿宋_GB2312" w:hAnsi="仿宋" w:cs="仿宋"/>
                <w:color w:val="auto"/>
                <w:sz w:val="22"/>
                <w:szCs w:val="22"/>
                <w:highlight w:val="none"/>
              </w:rPr>
            </w:pPr>
            <w:r>
              <w:rPr>
                <w:rFonts w:hint="eastAsia" w:ascii="仿宋_GB2312" w:hAnsi="仿宋" w:cs="仿宋"/>
                <w:color w:val="auto"/>
                <w:sz w:val="22"/>
                <w:szCs w:val="22"/>
                <w:highlight w:val="none"/>
              </w:rPr>
              <w:t>①房建等附属设施招标时不适用。</w:t>
            </w:r>
            <w:r>
              <w:rPr>
                <w:rFonts w:hint="eastAsia" w:ascii="仿宋_GB2312" w:hAnsi="仿宋" w:cs="仿宋"/>
                <w:b/>
                <w:bCs/>
                <w:color w:val="auto"/>
                <w:sz w:val="22"/>
                <w:szCs w:val="22"/>
                <w:highlight w:val="none"/>
              </w:rPr>
              <w:t>与信用等级相关联的从业人员类别应与该人员在本标段拟任职务一致。</w:t>
            </w:r>
          </w:p>
          <w:p>
            <w:pPr>
              <w:jc w:val="left"/>
              <w:rPr>
                <w:rFonts w:hint="eastAsia" w:ascii="仿宋_GB2312" w:hAnsi="仿宋" w:cs="仿宋"/>
                <w:color w:val="auto"/>
                <w:sz w:val="22"/>
                <w:szCs w:val="22"/>
                <w:highlight w:val="none"/>
              </w:rPr>
            </w:pPr>
            <w:r>
              <w:rPr>
                <w:rFonts w:hint="eastAsia" w:ascii="仿宋_GB2312" w:hAnsi="仿宋" w:cs="仿宋"/>
                <w:color w:val="auto"/>
                <w:sz w:val="22"/>
                <w:szCs w:val="22"/>
                <w:highlight w:val="none"/>
                <w:lang w:eastAsia="zh-CN"/>
              </w:rPr>
              <w:t>（</w:t>
            </w:r>
            <w:r>
              <w:rPr>
                <w:rFonts w:hint="eastAsia" w:ascii="仿宋_GB2312" w:hAnsi="仿宋" w:cs="仿宋"/>
                <w:color w:val="auto"/>
                <w:sz w:val="22"/>
                <w:szCs w:val="22"/>
                <w:highlight w:val="none"/>
                <w:lang w:val="en-US" w:eastAsia="zh-CN"/>
              </w:rPr>
              <w:t>5</w:t>
            </w:r>
            <w:r>
              <w:rPr>
                <w:rFonts w:hint="eastAsia" w:ascii="仿宋_GB2312" w:hAnsi="仿宋" w:cs="仿宋"/>
                <w:color w:val="auto"/>
                <w:sz w:val="22"/>
                <w:szCs w:val="22"/>
                <w:highlight w:val="none"/>
                <w:lang w:eastAsia="zh-CN"/>
              </w:rPr>
              <w:t>）</w:t>
            </w:r>
            <w:r>
              <w:rPr>
                <w:rFonts w:hint="eastAsia" w:ascii="仿宋_GB2312" w:hAnsi="仿宋" w:cs="仿宋"/>
                <w:color w:val="auto"/>
                <w:sz w:val="22"/>
                <w:szCs w:val="22"/>
                <w:highlight w:val="none"/>
              </w:rPr>
              <w:t>近三年（_____年___月1日以来），投标人或</w:t>
            </w:r>
            <w:r>
              <w:rPr>
                <w:rFonts w:hint="eastAsia" w:ascii="仿宋_GB2312" w:hAnsi="仿宋" w:cs="仿宋"/>
                <w:b/>
                <w:bCs/>
                <w:color w:val="auto"/>
                <w:sz w:val="22"/>
                <w:szCs w:val="22"/>
                <w:highlight w:val="none"/>
              </w:rPr>
              <w:t>其法定代表人</w:t>
            </w:r>
            <w:r>
              <w:rPr>
                <w:rFonts w:hint="eastAsia" w:ascii="仿宋_GB2312" w:hAnsi="仿宋" w:cs="仿宋"/>
                <w:color w:val="auto"/>
                <w:sz w:val="22"/>
                <w:szCs w:val="22"/>
                <w:highlight w:val="none"/>
              </w:rPr>
              <w:t>或拟委任的项目经理在工程建设领域中，有行贿行为未构成犯罪的，如实填报的扣1分，隐瞒不报的一经查实，作否决投标处理，并视为投标人提供虚假资料，按投标人须知第3.5.11项处理；</w:t>
            </w:r>
          </w:p>
          <w:p>
            <w:pPr>
              <w:spacing w:line="300" w:lineRule="exact"/>
              <w:jc w:val="left"/>
              <w:rPr>
                <w:rFonts w:ascii="仿宋_GB2312" w:hAnsi="黑体"/>
                <w:color w:val="auto"/>
                <w:sz w:val="22"/>
                <w:szCs w:val="22"/>
                <w:highlight w:val="none"/>
              </w:rPr>
            </w:pPr>
            <w:r>
              <w:rPr>
                <w:rFonts w:hint="eastAsia" w:ascii="仿宋_GB2312" w:hAnsi="仿宋" w:cs="仿宋"/>
                <w:color w:val="auto"/>
                <w:sz w:val="22"/>
                <w:szCs w:val="22"/>
                <w:highlight w:val="none"/>
                <w:lang w:eastAsia="zh-CN"/>
              </w:rPr>
              <w:t>（</w:t>
            </w:r>
            <w:r>
              <w:rPr>
                <w:rFonts w:hint="eastAsia" w:ascii="仿宋_GB2312" w:hAnsi="仿宋" w:cs="仿宋"/>
                <w:color w:val="auto"/>
                <w:sz w:val="22"/>
                <w:szCs w:val="22"/>
                <w:highlight w:val="none"/>
                <w:lang w:val="en-US" w:eastAsia="zh-CN"/>
              </w:rPr>
              <w:t>6</w:t>
            </w:r>
            <w:r>
              <w:rPr>
                <w:rFonts w:hint="eastAsia" w:ascii="仿宋_GB2312" w:hAnsi="仿宋" w:cs="仿宋"/>
                <w:color w:val="auto"/>
                <w:sz w:val="22"/>
                <w:szCs w:val="22"/>
                <w:highlight w:val="none"/>
                <w:lang w:eastAsia="zh-CN"/>
              </w:rPr>
              <w:t>）</w:t>
            </w:r>
            <w:r>
              <w:rPr>
                <w:rFonts w:hint="eastAsia" w:ascii="仿宋_GB2312" w:hAnsi="仿宋" w:cs="仿宋"/>
                <w:color w:val="auto"/>
                <w:sz w:val="22"/>
                <w:szCs w:val="22"/>
                <w:highlight w:val="none"/>
              </w:rPr>
              <w:t>投标人列入</w:t>
            </w:r>
            <w:r>
              <w:rPr>
                <w:rFonts w:hint="eastAsia" w:ascii="仿宋_GB2312" w:hAnsi="仿宋" w:cs="仿宋"/>
                <w:b/>
                <w:bCs/>
                <w:color w:val="auto"/>
                <w:sz w:val="22"/>
                <w:szCs w:val="22"/>
                <w:highlight w:val="none"/>
              </w:rPr>
              <w:t>严重失信主体名单（以“信用中国”（http://www.creditchina.gov.cn/）查询结果为准）</w:t>
            </w:r>
            <w:r>
              <w:rPr>
                <w:rFonts w:hint="eastAsia" w:ascii="仿宋_GB2312" w:hAnsi="仿宋" w:cs="仿宋"/>
                <w:color w:val="auto"/>
                <w:sz w:val="22"/>
                <w:szCs w:val="22"/>
                <w:highlight w:val="none"/>
              </w:rPr>
              <w:t>但未被限制投标的，如实填报扣1分，隐瞒不报的一经查实，作否决投标处理，并视为投标人提供虚假资料，按投标人须知第3.5.11项处理。</w:t>
            </w:r>
          </w:p>
        </w:tc>
        <w:tc>
          <w:tcPr>
            <w:tcW w:w="2130" w:type="dxa"/>
            <w:shd w:val="clear" w:color="auto" w:fill="auto"/>
            <w:vAlign w:val="center"/>
          </w:tcPr>
          <w:p>
            <w:pPr>
              <w:pStyle w:val="11"/>
              <w:shd w:val="clear" w:color="auto" w:fill="FFFFFF"/>
              <w:spacing w:before="0" w:beforeAutospacing="0" w:after="0" w:afterAutospacing="0" w:line="300" w:lineRule="exact"/>
              <w:rPr>
                <w:rFonts w:ascii="仿宋_GB2312" w:hAnsi="黑体" w:eastAsia="仿宋_GB2312" w:cs="Times New Roman"/>
                <w:color w:val="auto"/>
                <w:kern w:val="2"/>
                <w:sz w:val="22"/>
                <w:szCs w:val="22"/>
                <w:highlight w:val="none"/>
              </w:rPr>
            </w:pPr>
            <w:r>
              <w:rPr>
                <w:rFonts w:hint="eastAsia" w:ascii="仿宋_GB2312" w:hAnsi="仿宋" w:eastAsia="仿宋_GB2312" w:cs="仿宋"/>
                <w:color w:val="auto"/>
                <w:sz w:val="22"/>
                <w:szCs w:val="22"/>
                <w:highlight w:val="none"/>
              </w:rPr>
              <w:t>进一步明确①人员信息公开以投标截止日为准；②企业信用评价结果得分，与信用等级相关联的企业资质应与招标资格审查条件（资质最低要求）相适应；③主要人员信用评价得分，与信用等级相关联的从业人员类别应与该人员在本标段拟任职务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644" w:type="dxa"/>
            <w:shd w:val="clear" w:color="auto" w:fill="auto"/>
            <w:vAlign w:val="center"/>
          </w:tcPr>
          <w:p>
            <w:pPr>
              <w:spacing w:line="300" w:lineRule="exact"/>
              <w:jc w:val="center"/>
              <w:rPr>
                <w:rFonts w:ascii="仿宋_GB2312" w:hAnsi="黑体"/>
                <w:color w:val="auto"/>
                <w:sz w:val="22"/>
                <w:szCs w:val="22"/>
                <w:highlight w:val="none"/>
              </w:rPr>
            </w:pPr>
            <w:r>
              <w:rPr>
                <w:rFonts w:hint="eastAsia" w:ascii="仿宋_GB2312" w:hAnsi="黑体"/>
                <w:color w:val="auto"/>
                <w:sz w:val="22"/>
                <w:szCs w:val="22"/>
                <w:highlight w:val="none"/>
              </w:rPr>
              <w:t>16</w:t>
            </w:r>
          </w:p>
        </w:tc>
        <w:tc>
          <w:tcPr>
            <w:tcW w:w="1326" w:type="dxa"/>
            <w:shd w:val="clear" w:color="auto" w:fill="auto"/>
            <w:vAlign w:val="center"/>
          </w:tcPr>
          <w:p>
            <w:pPr>
              <w:spacing w:line="300" w:lineRule="exact"/>
              <w:rPr>
                <w:rFonts w:ascii="仿宋_GB2312" w:hAnsi="黑体"/>
                <w:color w:val="auto"/>
                <w:sz w:val="22"/>
                <w:szCs w:val="22"/>
                <w:highlight w:val="none"/>
              </w:rPr>
            </w:pPr>
            <w:r>
              <w:rPr>
                <w:rFonts w:hint="eastAsia" w:ascii="仿宋_GB2312" w:hAnsi="黑体"/>
                <w:color w:val="auto"/>
                <w:sz w:val="22"/>
                <w:szCs w:val="22"/>
                <w:highlight w:val="none"/>
              </w:rPr>
              <w:t>第四章 项目专用合同条款第4.1.10（15）</w:t>
            </w:r>
          </w:p>
        </w:tc>
        <w:tc>
          <w:tcPr>
            <w:tcW w:w="491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8" w:firstLineChars="200"/>
              <w:textAlignment w:val="auto"/>
              <w:rPr>
                <w:rFonts w:ascii="仿宋_GB2312"/>
                <w:color w:val="auto"/>
                <w:sz w:val="22"/>
                <w:szCs w:val="22"/>
                <w:highlight w:val="none"/>
              </w:rPr>
            </w:pPr>
            <w:r>
              <w:rPr>
                <w:rFonts w:hint="eastAsia" w:ascii="仿宋_GB2312"/>
                <w:color w:val="auto"/>
                <w:sz w:val="22"/>
                <w:szCs w:val="22"/>
                <w:highlight w:val="none"/>
              </w:rPr>
              <w:t>(15)承包人应按照浙江省交通运输厅《关于在我省政府投资公路水运建设工程中推行安全质量远程视频监控系统的通知》、《</w:t>
            </w:r>
            <w:bookmarkStart w:id="6" w:name="_Hlk91741028"/>
            <w:r>
              <w:rPr>
                <w:rFonts w:hint="eastAsia" w:ascii="仿宋_GB2312"/>
                <w:color w:val="auto"/>
                <w:sz w:val="22"/>
                <w:szCs w:val="22"/>
                <w:highlight w:val="none"/>
              </w:rPr>
              <w:t>关于进一步加强我省公路水运建设工程安全质量远程视频监控系统建设和管理的通知</w:t>
            </w:r>
            <w:bookmarkEnd w:id="6"/>
            <w:r>
              <w:rPr>
                <w:rFonts w:hint="eastAsia" w:ascii="仿宋_GB2312"/>
                <w:color w:val="auto"/>
                <w:sz w:val="22"/>
                <w:szCs w:val="22"/>
                <w:highlight w:val="none"/>
              </w:rPr>
              <w:t>》、《关于扎实做好在建项目安全质量远程视频监控系统资源整合接入工作的通知》做好相关工作。</w:t>
            </w:r>
          </w:p>
        </w:tc>
        <w:tc>
          <w:tcPr>
            <w:tcW w:w="4907" w:type="dxa"/>
            <w:shd w:val="clear" w:color="auto" w:fill="auto"/>
            <w:vAlign w:val="center"/>
          </w:tcPr>
          <w:p>
            <w:pPr>
              <w:ind w:firstLine="428" w:firstLineChars="200"/>
              <w:rPr>
                <w:rFonts w:ascii="仿宋_GB2312" w:hAnsi="黑体"/>
                <w:color w:val="auto"/>
                <w:sz w:val="22"/>
                <w:szCs w:val="22"/>
                <w:highlight w:val="none"/>
              </w:rPr>
            </w:pPr>
            <w:r>
              <w:rPr>
                <w:rFonts w:hint="eastAsia" w:ascii="仿宋_GB2312"/>
                <w:color w:val="auto"/>
                <w:sz w:val="22"/>
                <w:szCs w:val="22"/>
                <w:highlight w:val="none"/>
              </w:rPr>
              <w:t>(15)承包人应按照浙江省交通运输厅《关于在我省政府投资公路水运建设工程中推行安全质量远程视频监控系统的通知》、《关于进一步加强我省公路水运建设工程安全质量远程视频监控系统建设和管理的通知》、《关于扎实做好在建项目安全质量远程视频监控系统资源整合接入工作的通知》</w:t>
            </w:r>
            <w:r>
              <w:rPr>
                <w:rFonts w:hint="eastAsia" w:ascii="仿宋_GB2312"/>
                <w:b/>
                <w:bCs/>
                <w:color w:val="auto"/>
                <w:sz w:val="22"/>
                <w:szCs w:val="22"/>
                <w:highlight w:val="none"/>
              </w:rPr>
              <w:t>以及推进</w:t>
            </w:r>
            <w:r>
              <w:rPr>
                <w:rFonts w:hint="eastAsia" w:ascii="仿宋_GB2312" w:hAnsi="黑体"/>
                <w:b/>
                <w:bCs/>
                <w:color w:val="auto"/>
                <w:sz w:val="22"/>
                <w:szCs w:val="22"/>
                <w:highlight w:val="none"/>
              </w:rPr>
              <w:t>世界一流强港、交通强省建设和浙路品质相关要求</w:t>
            </w:r>
            <w:r>
              <w:rPr>
                <w:rFonts w:hint="eastAsia" w:ascii="仿宋_GB2312"/>
                <w:color w:val="auto"/>
                <w:sz w:val="22"/>
                <w:szCs w:val="22"/>
                <w:highlight w:val="none"/>
              </w:rPr>
              <w:t>做好相关工作。</w:t>
            </w:r>
          </w:p>
        </w:tc>
        <w:tc>
          <w:tcPr>
            <w:tcW w:w="2130" w:type="dxa"/>
            <w:shd w:val="clear" w:color="auto" w:fill="auto"/>
            <w:vAlign w:val="center"/>
          </w:tcPr>
          <w:p>
            <w:pPr>
              <w:pStyle w:val="2"/>
              <w:shd w:val="clear" w:color="auto" w:fill="FFFFFF"/>
              <w:spacing w:line="300" w:lineRule="exact"/>
              <w:jc w:val="left"/>
              <w:rPr>
                <w:rFonts w:ascii="仿宋_GB2312" w:hAnsi="黑体" w:eastAsia="仿宋_GB2312"/>
                <w:b w:val="0"/>
                <w:bCs w:val="0"/>
                <w:color w:val="auto"/>
                <w:kern w:val="2"/>
                <w:sz w:val="22"/>
                <w:szCs w:val="22"/>
                <w:highlight w:val="none"/>
                <w:lang w:val="en-US"/>
              </w:rPr>
            </w:pPr>
            <w:r>
              <w:rPr>
                <w:rFonts w:hint="eastAsia" w:ascii="仿宋_GB2312" w:hAnsi="黑体" w:eastAsia="仿宋_GB2312"/>
                <w:b w:val="0"/>
                <w:bCs w:val="0"/>
                <w:color w:val="auto"/>
                <w:kern w:val="2"/>
                <w:sz w:val="22"/>
                <w:szCs w:val="22"/>
                <w:highlight w:val="none"/>
                <w:lang w:val="en-US"/>
              </w:rPr>
              <w:t>信息化建设要求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644" w:type="dxa"/>
            <w:shd w:val="clear" w:color="auto" w:fill="auto"/>
            <w:vAlign w:val="center"/>
          </w:tcPr>
          <w:p>
            <w:pPr>
              <w:spacing w:line="300" w:lineRule="exact"/>
              <w:jc w:val="center"/>
              <w:rPr>
                <w:rFonts w:ascii="仿宋_GB2312" w:hAnsi="黑体"/>
                <w:color w:val="auto"/>
                <w:sz w:val="22"/>
                <w:szCs w:val="22"/>
                <w:highlight w:val="none"/>
              </w:rPr>
            </w:pPr>
            <w:r>
              <w:rPr>
                <w:rFonts w:hint="eastAsia" w:ascii="仿宋_GB2312" w:hAnsi="黑体"/>
                <w:color w:val="auto"/>
                <w:sz w:val="22"/>
                <w:szCs w:val="22"/>
                <w:highlight w:val="none"/>
              </w:rPr>
              <w:t>17</w:t>
            </w:r>
          </w:p>
        </w:tc>
        <w:tc>
          <w:tcPr>
            <w:tcW w:w="1326" w:type="dxa"/>
            <w:shd w:val="clear" w:color="auto" w:fill="auto"/>
            <w:vAlign w:val="center"/>
          </w:tcPr>
          <w:p>
            <w:pPr>
              <w:pStyle w:val="2"/>
              <w:spacing w:line="300" w:lineRule="exact"/>
              <w:rPr>
                <w:rFonts w:ascii="仿宋_GB2312" w:hAnsi="黑体" w:eastAsia="仿宋_GB2312"/>
                <w:b w:val="0"/>
                <w:bCs w:val="0"/>
                <w:color w:val="auto"/>
                <w:kern w:val="2"/>
                <w:sz w:val="22"/>
                <w:szCs w:val="22"/>
                <w:highlight w:val="none"/>
                <w:lang w:val="en-US"/>
              </w:rPr>
            </w:pPr>
            <w:r>
              <w:rPr>
                <w:rFonts w:hint="eastAsia" w:ascii="仿宋_GB2312" w:hAnsi="黑体" w:eastAsia="仿宋_GB2312"/>
                <w:b w:val="0"/>
                <w:bCs w:val="0"/>
                <w:color w:val="auto"/>
                <w:kern w:val="2"/>
                <w:sz w:val="22"/>
                <w:szCs w:val="22"/>
                <w:highlight w:val="none"/>
                <w:lang w:val="en-US"/>
              </w:rPr>
              <w:t>第九章 投标文件格式承诺函</w:t>
            </w:r>
          </w:p>
        </w:tc>
        <w:tc>
          <w:tcPr>
            <w:tcW w:w="4912" w:type="dxa"/>
            <w:shd w:val="clear" w:color="auto" w:fill="auto"/>
            <w:vAlign w:val="center"/>
          </w:tcPr>
          <w:p>
            <w:pPr>
              <w:spacing w:line="300" w:lineRule="exact"/>
              <w:ind w:firstLine="440"/>
              <w:rPr>
                <w:rFonts w:ascii="仿宋_GB2312" w:hAnsi="黑体"/>
                <w:color w:val="auto"/>
                <w:sz w:val="22"/>
                <w:szCs w:val="22"/>
                <w:highlight w:val="none"/>
              </w:rPr>
            </w:pPr>
          </w:p>
        </w:tc>
        <w:tc>
          <w:tcPr>
            <w:tcW w:w="4907" w:type="dxa"/>
            <w:shd w:val="clear" w:color="auto" w:fill="auto"/>
            <w:vAlign w:val="center"/>
          </w:tcPr>
          <w:p>
            <w:pPr>
              <w:ind w:firstLine="428" w:firstLineChars="200"/>
              <w:rPr>
                <w:rFonts w:ascii="仿宋_GB2312"/>
                <w:color w:val="auto"/>
                <w:sz w:val="22"/>
                <w:szCs w:val="22"/>
                <w:highlight w:val="none"/>
              </w:rPr>
            </w:pPr>
            <w:r>
              <w:rPr>
                <w:rFonts w:hint="eastAsia" w:ascii="仿宋_GB2312"/>
                <w:color w:val="auto"/>
                <w:sz w:val="22"/>
                <w:szCs w:val="22"/>
                <w:highlight w:val="none"/>
              </w:rPr>
              <w:t>补充以下内容，详见附件3：</w:t>
            </w:r>
          </w:p>
          <w:p>
            <w:pPr>
              <w:ind w:firstLine="428" w:firstLineChars="200"/>
              <w:rPr>
                <w:rFonts w:ascii="仿宋_GB2312" w:hAnsi="黑体"/>
                <w:color w:val="auto"/>
                <w:sz w:val="22"/>
                <w:szCs w:val="22"/>
                <w:highlight w:val="none"/>
              </w:rPr>
            </w:pPr>
            <w:r>
              <w:rPr>
                <w:rFonts w:hint="eastAsia" w:ascii="仿宋_GB2312"/>
                <w:color w:val="auto"/>
                <w:sz w:val="22"/>
                <w:szCs w:val="22"/>
                <w:highlight w:val="none"/>
              </w:rPr>
              <w:t>我方法定代表人、拟派项目经理、委托代理人等主要责任人遵循公开、公平、公正和诚实信用的原则参与本次投标，没有弄虚作假、串通投标、行贿等行为。</w:t>
            </w:r>
          </w:p>
        </w:tc>
        <w:tc>
          <w:tcPr>
            <w:tcW w:w="2130" w:type="dxa"/>
            <w:shd w:val="clear" w:color="auto" w:fill="auto"/>
            <w:vAlign w:val="center"/>
          </w:tcPr>
          <w:p>
            <w:pPr>
              <w:pStyle w:val="11"/>
              <w:shd w:val="clear" w:color="auto" w:fill="FFFFFF"/>
              <w:spacing w:before="0" w:beforeAutospacing="0" w:after="0" w:afterAutospacing="0" w:line="300" w:lineRule="exact"/>
              <w:rPr>
                <w:rFonts w:ascii="仿宋_GB2312" w:hAnsi="黑体" w:eastAsia="仿宋_GB2312" w:cs="Times New Roman"/>
                <w:color w:val="auto"/>
                <w:kern w:val="2"/>
                <w:sz w:val="22"/>
                <w:szCs w:val="22"/>
                <w:highlight w:val="none"/>
              </w:rPr>
            </w:pPr>
          </w:p>
        </w:tc>
      </w:tr>
    </w:tbl>
    <w:p>
      <w:pPr>
        <w:spacing w:line="580" w:lineRule="atLeast"/>
        <w:ind w:right="1294"/>
        <w:rPr>
          <w:rFonts w:ascii="仿宋_GB2312"/>
          <w:color w:val="auto"/>
          <w:highlight w:val="none"/>
        </w:rPr>
        <w:sectPr>
          <w:headerReference r:id="rId4" w:type="default"/>
          <w:footerReference r:id="rId6" w:type="default"/>
          <w:headerReference r:id="rId5" w:type="even"/>
          <w:footerReference r:id="rId7" w:type="even"/>
          <w:pgSz w:w="16838" w:h="11906" w:orient="landscape"/>
          <w:pgMar w:top="1588" w:right="2098" w:bottom="1474" w:left="1985" w:header="851" w:footer="1418" w:gutter="0"/>
          <w:cols w:space="425" w:num="1"/>
          <w:formProt w:val="0"/>
          <w:docGrid w:type="linesAndChars" w:linePitch="579" w:charSpace="-1266"/>
        </w:sectPr>
      </w:pPr>
    </w:p>
    <w:p>
      <w:pPr>
        <w:spacing w:line="440" w:lineRule="exact"/>
        <w:rPr>
          <w:rFonts w:eastAsia="宋体"/>
          <w:color w:val="auto"/>
          <w:sz w:val="21"/>
          <w:szCs w:val="21"/>
          <w:highlight w:val="none"/>
        </w:rPr>
      </w:pPr>
      <w:r>
        <w:rPr>
          <w:rFonts w:hint="eastAsia" w:eastAsia="宋体"/>
          <w:color w:val="auto"/>
          <w:sz w:val="21"/>
          <w:szCs w:val="21"/>
          <w:highlight w:val="none"/>
        </w:rPr>
        <w:t>附件1：业绩设置标准</w:t>
      </w:r>
    </w:p>
    <w:p>
      <w:pPr>
        <w:spacing w:line="440" w:lineRule="exact"/>
        <w:ind w:firstLine="408" w:firstLineChars="200"/>
        <w:rPr>
          <w:rFonts w:eastAsia="宋体"/>
          <w:color w:val="auto"/>
          <w:sz w:val="21"/>
          <w:szCs w:val="21"/>
          <w:highlight w:val="none"/>
        </w:rPr>
      </w:pPr>
      <w:r>
        <w:rPr>
          <w:rFonts w:eastAsia="宋体"/>
          <w:color w:val="auto"/>
          <w:sz w:val="21"/>
          <w:szCs w:val="21"/>
          <w:highlight w:val="none"/>
        </w:rPr>
        <w:t>3.业绩设置标准</w:t>
      </w:r>
      <w:r>
        <w:rPr>
          <w:rFonts w:hint="eastAsia" w:eastAsia="宋体"/>
          <w:color w:val="auto"/>
          <w:sz w:val="21"/>
          <w:szCs w:val="21"/>
          <w:highlight w:val="none"/>
        </w:rPr>
        <w:t>。根据采用评标办法的不同，分别可按以下标准设置：</w:t>
      </w:r>
    </w:p>
    <w:p>
      <w:pPr>
        <w:spacing w:line="440" w:lineRule="exact"/>
        <w:ind w:firstLine="408" w:firstLineChars="200"/>
        <w:rPr>
          <w:rFonts w:eastAsia="宋体"/>
          <w:color w:val="auto"/>
          <w:sz w:val="21"/>
          <w:szCs w:val="21"/>
          <w:highlight w:val="none"/>
        </w:rPr>
      </w:pPr>
      <w:r>
        <w:rPr>
          <w:rFonts w:hint="eastAsia" w:eastAsia="宋体"/>
          <w:color w:val="auto"/>
          <w:sz w:val="21"/>
          <w:szCs w:val="21"/>
          <w:highlight w:val="none"/>
        </w:rPr>
        <w:t>（</w:t>
      </w:r>
      <w:r>
        <w:rPr>
          <w:rFonts w:eastAsia="宋体"/>
          <w:color w:val="auto"/>
          <w:sz w:val="21"/>
          <w:szCs w:val="21"/>
          <w:highlight w:val="none"/>
        </w:rPr>
        <w:t>1</w:t>
      </w:r>
      <w:r>
        <w:rPr>
          <w:rFonts w:hint="eastAsia" w:eastAsia="宋体"/>
          <w:color w:val="auto"/>
          <w:sz w:val="21"/>
          <w:szCs w:val="21"/>
          <w:highlight w:val="none"/>
        </w:rPr>
        <w:t>）符合下表特征的项目的土建主体工程，可由招标人自行选择采用</w:t>
      </w:r>
      <w:r>
        <w:rPr>
          <w:rFonts w:eastAsia="宋体"/>
          <w:color w:val="auto"/>
          <w:sz w:val="21"/>
          <w:szCs w:val="21"/>
          <w:highlight w:val="none"/>
        </w:rPr>
        <w:t>“综合评分法”</w:t>
      </w:r>
      <w:r>
        <w:rPr>
          <w:rFonts w:hint="eastAsia" w:eastAsia="宋体"/>
          <w:color w:val="auto"/>
          <w:sz w:val="21"/>
          <w:szCs w:val="21"/>
          <w:highlight w:val="none"/>
        </w:rPr>
        <w:t>或“技术打分制的合理低价法”。</w:t>
      </w:r>
    </w:p>
    <w:tbl>
      <w:tblPr>
        <w:tblStyle w:val="12"/>
        <w:tblpPr w:leftFromText="180" w:rightFromText="180" w:vertAnchor="text" w:horzAnchor="margin" w:tblpY="69"/>
        <w:tblW w:w="9204" w:type="dxa"/>
        <w:tblInd w:w="0" w:type="dxa"/>
        <w:tblLayout w:type="autofit"/>
        <w:tblCellMar>
          <w:top w:w="0" w:type="dxa"/>
          <w:left w:w="108" w:type="dxa"/>
          <w:bottom w:w="0" w:type="dxa"/>
          <w:right w:w="108" w:type="dxa"/>
        </w:tblCellMar>
      </w:tblPr>
      <w:tblGrid>
        <w:gridCol w:w="841"/>
        <w:gridCol w:w="104"/>
        <w:gridCol w:w="14"/>
        <w:gridCol w:w="1701"/>
        <w:gridCol w:w="425"/>
        <w:gridCol w:w="2126"/>
        <w:gridCol w:w="2009"/>
        <w:gridCol w:w="1984"/>
      </w:tblGrid>
      <w:tr>
        <w:tblPrEx>
          <w:tblCellMar>
            <w:top w:w="0" w:type="dxa"/>
            <w:left w:w="108" w:type="dxa"/>
            <w:bottom w:w="0" w:type="dxa"/>
            <w:right w:w="108" w:type="dxa"/>
          </w:tblCellMar>
        </w:tblPrEx>
        <w:trPr>
          <w:trHeight w:val="397" w:hRule="atLeast"/>
        </w:trPr>
        <w:tc>
          <w:tcPr>
            <w:tcW w:w="9204" w:type="dxa"/>
            <w:gridSpan w:val="8"/>
            <w:tcBorders>
              <w:top w:val="single" w:color="auto" w:sz="8" w:space="0"/>
              <w:left w:val="single" w:color="auto" w:sz="8" w:space="0"/>
              <w:bottom w:val="single" w:color="auto" w:sz="8" w:space="0"/>
              <w:right w:val="single" w:color="auto" w:sz="8" w:space="0"/>
            </w:tcBorders>
            <w:noWrap/>
            <w:vAlign w:val="center"/>
          </w:tcPr>
          <w:p>
            <w:pPr>
              <w:widowControl/>
              <w:jc w:val="center"/>
              <w:rPr>
                <w:color w:val="auto"/>
                <w:kern w:val="0"/>
                <w:sz w:val="20"/>
                <w:highlight w:val="none"/>
              </w:rPr>
            </w:pPr>
            <w:r>
              <w:rPr>
                <w:color w:val="auto"/>
                <w:kern w:val="0"/>
                <w:sz w:val="20"/>
                <w:highlight w:val="none"/>
              </w:rPr>
              <w:t>桥  梁  工  程</w:t>
            </w:r>
          </w:p>
        </w:tc>
      </w:tr>
      <w:tr>
        <w:tblPrEx>
          <w:tblCellMar>
            <w:top w:w="0" w:type="dxa"/>
            <w:left w:w="108" w:type="dxa"/>
            <w:bottom w:w="0" w:type="dxa"/>
            <w:right w:w="108" w:type="dxa"/>
          </w:tblCellMar>
        </w:tblPrEx>
        <w:trPr>
          <w:trHeight w:val="397" w:hRule="atLeast"/>
        </w:trPr>
        <w:tc>
          <w:tcPr>
            <w:tcW w:w="3085" w:type="dxa"/>
            <w:gridSpan w:val="5"/>
            <w:vMerge w:val="restart"/>
            <w:tcBorders>
              <w:top w:val="single" w:color="auto" w:sz="8" w:space="0"/>
              <w:left w:val="single" w:color="auto" w:sz="8" w:space="0"/>
              <w:bottom w:val="single" w:color="auto" w:sz="8" w:space="0"/>
              <w:right w:val="single" w:color="auto" w:sz="4" w:space="0"/>
            </w:tcBorders>
            <w:noWrap/>
            <w:vAlign w:val="center"/>
          </w:tcPr>
          <w:p>
            <w:pPr>
              <w:widowControl/>
              <w:jc w:val="center"/>
              <w:rPr>
                <w:color w:val="auto"/>
                <w:kern w:val="0"/>
                <w:sz w:val="20"/>
                <w:highlight w:val="none"/>
              </w:rPr>
            </w:pPr>
            <w:r>
              <w:rPr>
                <w:color w:val="auto"/>
                <w:kern w:val="0"/>
                <w:sz w:val="20"/>
                <w:highlight w:val="none"/>
              </w:rPr>
              <w:t>结构形式或范围</w:t>
            </w:r>
          </w:p>
        </w:tc>
        <w:tc>
          <w:tcPr>
            <w:tcW w:w="2126" w:type="dxa"/>
            <w:vMerge w:val="restart"/>
            <w:tcBorders>
              <w:top w:val="single" w:color="auto" w:sz="8" w:space="0"/>
              <w:left w:val="single" w:color="auto" w:sz="4" w:space="0"/>
              <w:bottom w:val="single" w:color="auto" w:sz="8" w:space="0"/>
              <w:right w:val="single" w:color="auto" w:sz="4" w:space="0"/>
            </w:tcBorders>
            <w:noWrap/>
            <w:vAlign w:val="center"/>
          </w:tcPr>
          <w:p>
            <w:pPr>
              <w:widowControl/>
              <w:jc w:val="center"/>
              <w:rPr>
                <w:color w:val="auto"/>
                <w:kern w:val="0"/>
                <w:sz w:val="20"/>
                <w:highlight w:val="none"/>
              </w:rPr>
            </w:pPr>
            <w:r>
              <w:rPr>
                <w:rFonts w:hint="eastAsia"/>
                <w:color w:val="auto"/>
                <w:kern w:val="0"/>
                <w:sz w:val="20"/>
                <w:highlight w:val="none"/>
              </w:rPr>
              <w:t>招标标段</w:t>
            </w:r>
          </w:p>
          <w:p>
            <w:pPr>
              <w:widowControl/>
              <w:jc w:val="center"/>
              <w:rPr>
                <w:color w:val="auto"/>
                <w:kern w:val="0"/>
                <w:sz w:val="20"/>
                <w:highlight w:val="none"/>
              </w:rPr>
            </w:pPr>
            <w:r>
              <w:rPr>
                <w:color w:val="auto"/>
                <w:kern w:val="0"/>
                <w:sz w:val="20"/>
                <w:highlight w:val="none"/>
              </w:rPr>
              <w:t>单孔跨径L或墩高</w:t>
            </w:r>
          </w:p>
        </w:tc>
        <w:tc>
          <w:tcPr>
            <w:tcW w:w="2009" w:type="dxa"/>
            <w:tcBorders>
              <w:top w:val="single" w:color="auto" w:sz="8" w:space="0"/>
              <w:left w:val="nil"/>
              <w:bottom w:val="single" w:color="auto" w:sz="8" w:space="0"/>
              <w:right w:val="single" w:color="000000" w:sz="8" w:space="0"/>
            </w:tcBorders>
            <w:noWrap/>
            <w:vAlign w:val="center"/>
          </w:tcPr>
          <w:p>
            <w:pPr>
              <w:widowControl/>
              <w:jc w:val="center"/>
              <w:rPr>
                <w:color w:val="auto"/>
                <w:kern w:val="0"/>
                <w:sz w:val="20"/>
                <w:highlight w:val="none"/>
              </w:rPr>
            </w:pPr>
            <w:r>
              <w:rPr>
                <w:color w:val="auto"/>
                <w:kern w:val="0"/>
                <w:sz w:val="20"/>
                <w:highlight w:val="none"/>
              </w:rPr>
              <w:t>“资格审查条件（业绩最低要求）”设置标准</w:t>
            </w:r>
          </w:p>
        </w:tc>
        <w:tc>
          <w:tcPr>
            <w:tcW w:w="1984" w:type="dxa"/>
            <w:vMerge w:val="restart"/>
            <w:tcBorders>
              <w:top w:val="single" w:color="auto" w:sz="8" w:space="0"/>
              <w:left w:val="nil"/>
              <w:bottom w:val="single" w:color="auto" w:sz="8" w:space="0"/>
              <w:right w:val="single" w:color="auto" w:sz="8" w:space="0"/>
            </w:tcBorders>
            <w:vAlign w:val="center"/>
          </w:tcPr>
          <w:p>
            <w:pPr>
              <w:widowControl/>
              <w:jc w:val="center"/>
              <w:rPr>
                <w:color w:val="auto"/>
                <w:kern w:val="0"/>
                <w:sz w:val="20"/>
                <w:highlight w:val="none"/>
              </w:rPr>
            </w:pPr>
            <w:r>
              <w:rPr>
                <w:color w:val="auto"/>
                <w:kern w:val="0"/>
                <w:sz w:val="20"/>
                <w:highlight w:val="none"/>
              </w:rPr>
              <w:t>其他</w:t>
            </w:r>
          </w:p>
        </w:tc>
      </w:tr>
      <w:tr>
        <w:tblPrEx>
          <w:tblCellMar>
            <w:top w:w="0" w:type="dxa"/>
            <w:left w:w="108" w:type="dxa"/>
            <w:bottom w:w="0" w:type="dxa"/>
            <w:right w:w="108" w:type="dxa"/>
          </w:tblCellMar>
        </w:tblPrEx>
        <w:trPr>
          <w:trHeight w:val="397" w:hRule="atLeast"/>
        </w:trPr>
        <w:tc>
          <w:tcPr>
            <w:tcW w:w="3085" w:type="dxa"/>
            <w:gridSpan w:val="5"/>
            <w:vMerge w:val="continue"/>
            <w:tcBorders>
              <w:top w:val="single" w:color="auto" w:sz="8" w:space="0"/>
              <w:left w:val="single" w:color="auto" w:sz="8" w:space="0"/>
              <w:bottom w:val="single" w:color="auto" w:sz="8" w:space="0"/>
              <w:right w:val="single" w:color="auto" w:sz="4" w:space="0"/>
            </w:tcBorders>
            <w:vAlign w:val="center"/>
          </w:tcPr>
          <w:p>
            <w:pPr>
              <w:widowControl/>
              <w:jc w:val="left"/>
              <w:rPr>
                <w:color w:val="auto"/>
                <w:kern w:val="0"/>
                <w:sz w:val="20"/>
                <w:highlight w:val="none"/>
              </w:rPr>
            </w:pPr>
          </w:p>
        </w:tc>
        <w:tc>
          <w:tcPr>
            <w:tcW w:w="2126" w:type="dxa"/>
            <w:vMerge w:val="continue"/>
            <w:tcBorders>
              <w:top w:val="single" w:color="auto" w:sz="8" w:space="0"/>
              <w:left w:val="single" w:color="auto" w:sz="4" w:space="0"/>
              <w:bottom w:val="single" w:color="auto" w:sz="8" w:space="0"/>
              <w:right w:val="single" w:color="auto" w:sz="4" w:space="0"/>
            </w:tcBorders>
            <w:vAlign w:val="center"/>
          </w:tcPr>
          <w:p>
            <w:pPr>
              <w:widowControl/>
              <w:jc w:val="left"/>
              <w:rPr>
                <w:color w:val="auto"/>
                <w:kern w:val="0"/>
                <w:sz w:val="20"/>
                <w:highlight w:val="none"/>
              </w:rPr>
            </w:pPr>
          </w:p>
        </w:tc>
        <w:tc>
          <w:tcPr>
            <w:tcW w:w="2009" w:type="dxa"/>
            <w:tcBorders>
              <w:top w:val="single" w:color="auto" w:sz="8" w:space="0"/>
              <w:left w:val="nil"/>
              <w:bottom w:val="single" w:color="auto" w:sz="8" w:space="0"/>
              <w:right w:val="single" w:color="auto" w:sz="4" w:space="0"/>
            </w:tcBorders>
            <w:noWrap/>
            <w:vAlign w:val="center"/>
          </w:tcPr>
          <w:p>
            <w:pPr>
              <w:widowControl/>
              <w:jc w:val="center"/>
              <w:rPr>
                <w:color w:val="auto"/>
                <w:kern w:val="0"/>
                <w:sz w:val="20"/>
                <w:highlight w:val="none"/>
              </w:rPr>
            </w:pPr>
            <w:r>
              <w:rPr>
                <w:color w:val="auto"/>
                <w:kern w:val="0"/>
                <w:sz w:val="20"/>
                <w:highlight w:val="none"/>
              </w:rPr>
              <w:t>单孔跨径L或墩高</w:t>
            </w:r>
          </w:p>
        </w:tc>
        <w:tc>
          <w:tcPr>
            <w:tcW w:w="1984" w:type="dxa"/>
            <w:vMerge w:val="continue"/>
            <w:tcBorders>
              <w:top w:val="single" w:color="auto" w:sz="8" w:space="0"/>
              <w:left w:val="nil"/>
              <w:bottom w:val="single" w:color="auto" w:sz="8" w:space="0"/>
              <w:right w:val="single" w:color="auto" w:sz="8" w:space="0"/>
            </w:tcBorders>
            <w:noWrap/>
            <w:vAlign w:val="center"/>
          </w:tcPr>
          <w:p>
            <w:pPr>
              <w:widowControl/>
              <w:jc w:val="center"/>
              <w:rPr>
                <w:color w:val="auto"/>
                <w:kern w:val="0"/>
                <w:sz w:val="20"/>
                <w:highlight w:val="none"/>
              </w:rPr>
            </w:pPr>
          </w:p>
        </w:tc>
      </w:tr>
      <w:tr>
        <w:tblPrEx>
          <w:tblCellMar>
            <w:top w:w="0" w:type="dxa"/>
            <w:left w:w="108" w:type="dxa"/>
            <w:bottom w:w="0" w:type="dxa"/>
            <w:right w:w="108" w:type="dxa"/>
          </w:tblCellMar>
        </w:tblPrEx>
        <w:trPr>
          <w:trHeight w:val="397" w:hRule="atLeast"/>
        </w:trPr>
        <w:tc>
          <w:tcPr>
            <w:tcW w:w="841" w:type="dxa"/>
            <w:vMerge w:val="restart"/>
            <w:tcBorders>
              <w:top w:val="single" w:color="auto" w:sz="8" w:space="0"/>
              <w:left w:val="single" w:color="auto" w:sz="8" w:space="0"/>
              <w:bottom w:val="single" w:color="auto" w:sz="8" w:space="0"/>
              <w:right w:val="single" w:color="auto" w:sz="4" w:space="0"/>
            </w:tcBorders>
            <w:noWrap/>
            <w:vAlign w:val="center"/>
          </w:tcPr>
          <w:p>
            <w:pPr>
              <w:widowControl/>
              <w:jc w:val="center"/>
              <w:rPr>
                <w:color w:val="auto"/>
                <w:kern w:val="0"/>
                <w:sz w:val="20"/>
                <w:highlight w:val="none"/>
              </w:rPr>
            </w:pPr>
            <w:r>
              <w:rPr>
                <w:color w:val="auto"/>
                <w:kern w:val="0"/>
                <w:sz w:val="20"/>
                <w:highlight w:val="none"/>
              </w:rPr>
              <w:t xml:space="preserve"> 拱桥</w:t>
            </w:r>
          </w:p>
        </w:tc>
        <w:tc>
          <w:tcPr>
            <w:tcW w:w="2244" w:type="dxa"/>
            <w:gridSpan w:val="4"/>
            <w:tcBorders>
              <w:top w:val="single" w:color="auto" w:sz="8" w:space="0"/>
              <w:left w:val="nil"/>
              <w:bottom w:val="single" w:color="auto" w:sz="8" w:space="0"/>
              <w:right w:val="single" w:color="auto" w:sz="4" w:space="0"/>
            </w:tcBorders>
            <w:noWrap/>
            <w:vAlign w:val="center"/>
          </w:tcPr>
          <w:p>
            <w:pPr>
              <w:widowControl/>
              <w:jc w:val="left"/>
              <w:rPr>
                <w:color w:val="auto"/>
                <w:kern w:val="0"/>
                <w:sz w:val="20"/>
                <w:highlight w:val="none"/>
              </w:rPr>
            </w:pPr>
            <w:r>
              <w:rPr>
                <w:color w:val="auto"/>
                <w:kern w:val="0"/>
                <w:sz w:val="20"/>
                <w:highlight w:val="none"/>
              </w:rPr>
              <w:t>石拱桥</w:t>
            </w:r>
          </w:p>
        </w:tc>
        <w:tc>
          <w:tcPr>
            <w:tcW w:w="2126" w:type="dxa"/>
            <w:tcBorders>
              <w:top w:val="single" w:color="auto" w:sz="8" w:space="0"/>
              <w:left w:val="nil"/>
              <w:bottom w:val="single" w:color="auto" w:sz="8" w:space="0"/>
              <w:right w:val="single" w:color="auto" w:sz="4" w:space="0"/>
            </w:tcBorders>
            <w:noWrap/>
            <w:vAlign w:val="center"/>
          </w:tcPr>
          <w:p>
            <w:pPr>
              <w:widowControl/>
              <w:jc w:val="center"/>
              <w:rPr>
                <w:color w:val="auto"/>
                <w:kern w:val="0"/>
                <w:sz w:val="20"/>
                <w:highlight w:val="none"/>
              </w:rPr>
            </w:pPr>
            <w:r>
              <w:rPr>
                <w:color w:val="auto"/>
                <w:kern w:val="0"/>
                <w:sz w:val="20"/>
                <w:highlight w:val="none"/>
              </w:rPr>
              <w:t>L≥40m</w:t>
            </w:r>
          </w:p>
        </w:tc>
        <w:tc>
          <w:tcPr>
            <w:tcW w:w="2009" w:type="dxa"/>
            <w:tcBorders>
              <w:top w:val="single" w:color="auto" w:sz="8" w:space="0"/>
              <w:left w:val="nil"/>
              <w:bottom w:val="single" w:color="auto" w:sz="8" w:space="0"/>
              <w:right w:val="single" w:color="auto" w:sz="4" w:space="0"/>
            </w:tcBorders>
            <w:noWrap/>
            <w:vAlign w:val="center"/>
          </w:tcPr>
          <w:p>
            <w:pPr>
              <w:widowControl/>
              <w:jc w:val="center"/>
              <w:rPr>
                <w:color w:val="auto"/>
                <w:kern w:val="0"/>
                <w:sz w:val="20"/>
                <w:highlight w:val="none"/>
              </w:rPr>
            </w:pPr>
            <w:r>
              <w:rPr>
                <w:color w:val="auto"/>
                <w:kern w:val="0"/>
                <w:sz w:val="20"/>
                <w:highlight w:val="none"/>
              </w:rPr>
              <w:t>/</w:t>
            </w:r>
          </w:p>
        </w:tc>
        <w:tc>
          <w:tcPr>
            <w:tcW w:w="1984" w:type="dxa"/>
            <w:vMerge w:val="restart"/>
            <w:tcBorders>
              <w:top w:val="single" w:color="auto" w:sz="8" w:space="0"/>
              <w:left w:val="single" w:color="auto" w:sz="4" w:space="0"/>
              <w:bottom w:val="single" w:color="auto" w:sz="8" w:space="0"/>
              <w:right w:val="single" w:color="auto" w:sz="8" w:space="0"/>
            </w:tcBorders>
            <w:vAlign w:val="center"/>
          </w:tcPr>
          <w:p>
            <w:pPr>
              <w:widowControl/>
              <w:jc w:val="center"/>
              <w:rPr>
                <w:color w:val="auto"/>
                <w:kern w:val="0"/>
                <w:sz w:val="20"/>
                <w:highlight w:val="none"/>
              </w:rPr>
            </w:pPr>
            <w:r>
              <w:rPr>
                <w:color w:val="auto"/>
                <w:kern w:val="0"/>
                <w:sz w:val="20"/>
                <w:highlight w:val="none"/>
              </w:rPr>
              <w:t>长度原则上不作要求。加分业绩可按标段最大跨径的60%-80%设置</w:t>
            </w:r>
          </w:p>
        </w:tc>
      </w:tr>
      <w:tr>
        <w:tblPrEx>
          <w:tblCellMar>
            <w:top w:w="0" w:type="dxa"/>
            <w:left w:w="108" w:type="dxa"/>
            <w:bottom w:w="0" w:type="dxa"/>
            <w:right w:w="108" w:type="dxa"/>
          </w:tblCellMar>
        </w:tblPrEx>
        <w:trPr>
          <w:trHeight w:val="397" w:hRule="atLeast"/>
        </w:trPr>
        <w:tc>
          <w:tcPr>
            <w:tcW w:w="841" w:type="dxa"/>
            <w:vMerge w:val="continue"/>
            <w:tcBorders>
              <w:top w:val="single" w:color="auto" w:sz="8" w:space="0"/>
              <w:left w:val="single" w:color="auto" w:sz="8" w:space="0"/>
              <w:bottom w:val="single" w:color="auto" w:sz="8" w:space="0"/>
              <w:right w:val="single" w:color="auto" w:sz="4" w:space="0"/>
            </w:tcBorders>
            <w:vAlign w:val="center"/>
          </w:tcPr>
          <w:p>
            <w:pPr>
              <w:widowControl/>
              <w:jc w:val="left"/>
              <w:rPr>
                <w:color w:val="auto"/>
                <w:kern w:val="0"/>
                <w:sz w:val="20"/>
                <w:highlight w:val="none"/>
              </w:rPr>
            </w:pPr>
          </w:p>
        </w:tc>
        <w:tc>
          <w:tcPr>
            <w:tcW w:w="2244" w:type="dxa"/>
            <w:gridSpan w:val="4"/>
            <w:tcBorders>
              <w:top w:val="single" w:color="auto" w:sz="8" w:space="0"/>
              <w:left w:val="nil"/>
              <w:bottom w:val="single" w:color="auto" w:sz="8" w:space="0"/>
              <w:right w:val="single" w:color="auto" w:sz="4" w:space="0"/>
            </w:tcBorders>
            <w:noWrap/>
            <w:vAlign w:val="center"/>
          </w:tcPr>
          <w:p>
            <w:pPr>
              <w:widowControl/>
              <w:jc w:val="left"/>
              <w:rPr>
                <w:color w:val="auto"/>
                <w:kern w:val="0"/>
                <w:sz w:val="20"/>
                <w:highlight w:val="none"/>
              </w:rPr>
            </w:pPr>
            <w:r>
              <w:rPr>
                <w:color w:val="auto"/>
                <w:kern w:val="0"/>
                <w:sz w:val="20"/>
                <w:highlight w:val="none"/>
              </w:rPr>
              <w:t>钢桁架、钢管砼拱桥</w:t>
            </w:r>
          </w:p>
        </w:tc>
        <w:tc>
          <w:tcPr>
            <w:tcW w:w="2126" w:type="dxa"/>
            <w:tcBorders>
              <w:top w:val="single" w:color="auto" w:sz="8" w:space="0"/>
              <w:left w:val="nil"/>
              <w:bottom w:val="single" w:color="auto" w:sz="8" w:space="0"/>
              <w:right w:val="single" w:color="auto" w:sz="4" w:space="0"/>
            </w:tcBorders>
            <w:noWrap/>
            <w:vAlign w:val="center"/>
          </w:tcPr>
          <w:p>
            <w:pPr>
              <w:widowControl/>
              <w:jc w:val="center"/>
              <w:rPr>
                <w:color w:val="auto"/>
                <w:kern w:val="0"/>
                <w:sz w:val="20"/>
                <w:highlight w:val="none"/>
              </w:rPr>
            </w:pPr>
            <w:r>
              <w:rPr>
                <w:color w:val="auto"/>
                <w:kern w:val="0"/>
                <w:sz w:val="20"/>
                <w:highlight w:val="none"/>
              </w:rPr>
              <w:t>L≥100m</w:t>
            </w:r>
          </w:p>
        </w:tc>
        <w:tc>
          <w:tcPr>
            <w:tcW w:w="2009" w:type="dxa"/>
            <w:tcBorders>
              <w:top w:val="single" w:color="auto" w:sz="8" w:space="0"/>
              <w:left w:val="nil"/>
              <w:bottom w:val="single" w:color="auto" w:sz="8" w:space="0"/>
              <w:right w:val="single" w:color="auto" w:sz="4" w:space="0"/>
            </w:tcBorders>
            <w:noWrap/>
            <w:vAlign w:val="center"/>
          </w:tcPr>
          <w:p>
            <w:pPr>
              <w:widowControl/>
              <w:jc w:val="center"/>
              <w:rPr>
                <w:color w:val="auto"/>
                <w:kern w:val="0"/>
                <w:sz w:val="20"/>
                <w:highlight w:val="none"/>
              </w:rPr>
            </w:pPr>
            <w:r>
              <w:rPr>
                <w:color w:val="auto"/>
                <w:kern w:val="0"/>
                <w:sz w:val="20"/>
                <w:highlight w:val="none"/>
              </w:rPr>
              <w:t>60m</w:t>
            </w:r>
          </w:p>
        </w:tc>
        <w:tc>
          <w:tcPr>
            <w:tcW w:w="1984" w:type="dxa"/>
            <w:vMerge w:val="continue"/>
            <w:tcBorders>
              <w:top w:val="single" w:color="auto" w:sz="8" w:space="0"/>
              <w:left w:val="single" w:color="auto" w:sz="4" w:space="0"/>
              <w:bottom w:val="single" w:color="auto" w:sz="8" w:space="0"/>
              <w:right w:val="single" w:color="auto" w:sz="8" w:space="0"/>
            </w:tcBorders>
            <w:vAlign w:val="center"/>
          </w:tcPr>
          <w:p>
            <w:pPr>
              <w:widowControl/>
              <w:jc w:val="left"/>
              <w:rPr>
                <w:color w:val="auto"/>
                <w:kern w:val="0"/>
                <w:sz w:val="20"/>
                <w:highlight w:val="none"/>
              </w:rPr>
            </w:pPr>
          </w:p>
        </w:tc>
      </w:tr>
      <w:tr>
        <w:tblPrEx>
          <w:tblCellMar>
            <w:top w:w="0" w:type="dxa"/>
            <w:left w:w="108" w:type="dxa"/>
            <w:bottom w:w="0" w:type="dxa"/>
            <w:right w:w="108" w:type="dxa"/>
          </w:tblCellMar>
        </w:tblPrEx>
        <w:trPr>
          <w:trHeight w:val="397" w:hRule="atLeast"/>
        </w:trPr>
        <w:tc>
          <w:tcPr>
            <w:tcW w:w="841" w:type="dxa"/>
            <w:vMerge w:val="continue"/>
            <w:tcBorders>
              <w:top w:val="single" w:color="auto" w:sz="8" w:space="0"/>
              <w:left w:val="single" w:color="auto" w:sz="8" w:space="0"/>
              <w:bottom w:val="single" w:color="auto" w:sz="8" w:space="0"/>
              <w:right w:val="single" w:color="auto" w:sz="4" w:space="0"/>
            </w:tcBorders>
            <w:vAlign w:val="center"/>
          </w:tcPr>
          <w:p>
            <w:pPr>
              <w:widowControl/>
              <w:jc w:val="left"/>
              <w:rPr>
                <w:color w:val="auto"/>
                <w:kern w:val="0"/>
                <w:sz w:val="20"/>
                <w:highlight w:val="none"/>
              </w:rPr>
            </w:pPr>
          </w:p>
        </w:tc>
        <w:tc>
          <w:tcPr>
            <w:tcW w:w="2244" w:type="dxa"/>
            <w:gridSpan w:val="4"/>
            <w:tcBorders>
              <w:top w:val="single" w:color="auto" w:sz="8" w:space="0"/>
              <w:left w:val="nil"/>
              <w:bottom w:val="single" w:color="auto" w:sz="8" w:space="0"/>
              <w:right w:val="single" w:color="auto" w:sz="4" w:space="0"/>
            </w:tcBorders>
            <w:noWrap/>
            <w:vAlign w:val="center"/>
          </w:tcPr>
          <w:p>
            <w:pPr>
              <w:widowControl/>
              <w:jc w:val="left"/>
              <w:rPr>
                <w:color w:val="auto"/>
                <w:kern w:val="0"/>
                <w:sz w:val="20"/>
                <w:highlight w:val="none"/>
              </w:rPr>
            </w:pPr>
            <w:r>
              <w:rPr>
                <w:color w:val="auto"/>
                <w:kern w:val="0"/>
                <w:sz w:val="20"/>
                <w:highlight w:val="none"/>
              </w:rPr>
              <w:t>钢筋砼拱桥</w:t>
            </w:r>
          </w:p>
        </w:tc>
        <w:tc>
          <w:tcPr>
            <w:tcW w:w="2126" w:type="dxa"/>
            <w:tcBorders>
              <w:top w:val="single" w:color="auto" w:sz="8" w:space="0"/>
              <w:left w:val="nil"/>
              <w:bottom w:val="single" w:color="auto" w:sz="8" w:space="0"/>
              <w:right w:val="single" w:color="auto" w:sz="4" w:space="0"/>
            </w:tcBorders>
            <w:noWrap/>
            <w:vAlign w:val="center"/>
          </w:tcPr>
          <w:p>
            <w:pPr>
              <w:widowControl/>
              <w:jc w:val="center"/>
              <w:rPr>
                <w:color w:val="auto"/>
                <w:kern w:val="0"/>
                <w:sz w:val="20"/>
                <w:highlight w:val="none"/>
              </w:rPr>
            </w:pPr>
            <w:r>
              <w:rPr>
                <w:color w:val="auto"/>
                <w:kern w:val="0"/>
                <w:sz w:val="20"/>
                <w:highlight w:val="none"/>
              </w:rPr>
              <w:t>L≥150m</w:t>
            </w:r>
          </w:p>
        </w:tc>
        <w:tc>
          <w:tcPr>
            <w:tcW w:w="2009" w:type="dxa"/>
            <w:tcBorders>
              <w:top w:val="single" w:color="auto" w:sz="8" w:space="0"/>
              <w:left w:val="nil"/>
              <w:bottom w:val="single" w:color="auto" w:sz="8" w:space="0"/>
              <w:right w:val="single" w:color="auto" w:sz="4" w:space="0"/>
            </w:tcBorders>
            <w:noWrap/>
            <w:vAlign w:val="center"/>
          </w:tcPr>
          <w:p>
            <w:pPr>
              <w:widowControl/>
              <w:jc w:val="center"/>
              <w:rPr>
                <w:color w:val="auto"/>
                <w:kern w:val="0"/>
                <w:sz w:val="20"/>
                <w:highlight w:val="none"/>
              </w:rPr>
            </w:pPr>
            <w:r>
              <w:rPr>
                <w:color w:val="auto"/>
                <w:kern w:val="0"/>
                <w:sz w:val="20"/>
                <w:highlight w:val="none"/>
              </w:rPr>
              <w:t>100m</w:t>
            </w:r>
          </w:p>
        </w:tc>
        <w:tc>
          <w:tcPr>
            <w:tcW w:w="1984" w:type="dxa"/>
            <w:vMerge w:val="continue"/>
            <w:tcBorders>
              <w:top w:val="single" w:color="auto" w:sz="8" w:space="0"/>
              <w:left w:val="single" w:color="auto" w:sz="4" w:space="0"/>
              <w:bottom w:val="single" w:color="auto" w:sz="8" w:space="0"/>
              <w:right w:val="single" w:color="auto" w:sz="8" w:space="0"/>
            </w:tcBorders>
            <w:vAlign w:val="center"/>
          </w:tcPr>
          <w:p>
            <w:pPr>
              <w:widowControl/>
              <w:jc w:val="left"/>
              <w:rPr>
                <w:color w:val="auto"/>
                <w:kern w:val="0"/>
                <w:sz w:val="20"/>
                <w:highlight w:val="none"/>
              </w:rPr>
            </w:pPr>
          </w:p>
        </w:tc>
      </w:tr>
      <w:tr>
        <w:tblPrEx>
          <w:tblCellMar>
            <w:top w:w="0" w:type="dxa"/>
            <w:left w:w="108" w:type="dxa"/>
            <w:bottom w:w="0" w:type="dxa"/>
            <w:right w:w="108" w:type="dxa"/>
          </w:tblCellMar>
        </w:tblPrEx>
        <w:trPr>
          <w:trHeight w:val="397" w:hRule="atLeast"/>
        </w:trPr>
        <w:tc>
          <w:tcPr>
            <w:tcW w:w="841" w:type="dxa"/>
            <w:vMerge w:val="continue"/>
            <w:tcBorders>
              <w:top w:val="single" w:color="auto" w:sz="8" w:space="0"/>
              <w:left w:val="single" w:color="auto" w:sz="8" w:space="0"/>
              <w:bottom w:val="single" w:color="auto" w:sz="8" w:space="0"/>
              <w:right w:val="single" w:color="auto" w:sz="4" w:space="0"/>
            </w:tcBorders>
            <w:vAlign w:val="center"/>
          </w:tcPr>
          <w:p>
            <w:pPr>
              <w:widowControl/>
              <w:jc w:val="left"/>
              <w:rPr>
                <w:color w:val="auto"/>
                <w:kern w:val="0"/>
                <w:sz w:val="20"/>
                <w:highlight w:val="none"/>
              </w:rPr>
            </w:pPr>
          </w:p>
        </w:tc>
        <w:tc>
          <w:tcPr>
            <w:tcW w:w="2244" w:type="dxa"/>
            <w:gridSpan w:val="4"/>
            <w:tcBorders>
              <w:top w:val="single" w:color="auto" w:sz="8" w:space="0"/>
              <w:left w:val="nil"/>
              <w:bottom w:val="single" w:color="auto" w:sz="8" w:space="0"/>
              <w:right w:val="single" w:color="auto" w:sz="4" w:space="0"/>
            </w:tcBorders>
            <w:noWrap/>
            <w:vAlign w:val="center"/>
          </w:tcPr>
          <w:p>
            <w:pPr>
              <w:widowControl/>
              <w:jc w:val="left"/>
              <w:rPr>
                <w:color w:val="auto"/>
                <w:kern w:val="0"/>
                <w:sz w:val="20"/>
                <w:highlight w:val="none"/>
              </w:rPr>
            </w:pPr>
            <w:r>
              <w:rPr>
                <w:color w:val="auto"/>
                <w:kern w:val="0"/>
                <w:sz w:val="20"/>
                <w:highlight w:val="none"/>
              </w:rPr>
              <w:t>钢箱拱桥</w:t>
            </w:r>
          </w:p>
        </w:tc>
        <w:tc>
          <w:tcPr>
            <w:tcW w:w="2126" w:type="dxa"/>
            <w:tcBorders>
              <w:top w:val="single" w:color="auto" w:sz="8" w:space="0"/>
              <w:left w:val="nil"/>
              <w:bottom w:val="single" w:color="auto" w:sz="8" w:space="0"/>
              <w:right w:val="single" w:color="auto" w:sz="4" w:space="0"/>
            </w:tcBorders>
            <w:noWrap/>
            <w:vAlign w:val="center"/>
          </w:tcPr>
          <w:p>
            <w:pPr>
              <w:widowControl/>
              <w:jc w:val="center"/>
              <w:rPr>
                <w:color w:val="auto"/>
                <w:kern w:val="0"/>
                <w:sz w:val="20"/>
                <w:highlight w:val="none"/>
              </w:rPr>
            </w:pPr>
            <w:r>
              <w:rPr>
                <w:color w:val="auto"/>
                <w:kern w:val="0"/>
                <w:sz w:val="20"/>
                <w:highlight w:val="none"/>
              </w:rPr>
              <w:t>L≥350m</w:t>
            </w:r>
          </w:p>
        </w:tc>
        <w:tc>
          <w:tcPr>
            <w:tcW w:w="2009" w:type="dxa"/>
            <w:tcBorders>
              <w:top w:val="single" w:color="auto" w:sz="8" w:space="0"/>
              <w:left w:val="nil"/>
              <w:bottom w:val="single" w:color="auto" w:sz="8" w:space="0"/>
              <w:right w:val="single" w:color="auto" w:sz="4" w:space="0"/>
            </w:tcBorders>
            <w:noWrap/>
            <w:vAlign w:val="center"/>
          </w:tcPr>
          <w:p>
            <w:pPr>
              <w:widowControl/>
              <w:jc w:val="center"/>
              <w:rPr>
                <w:color w:val="auto"/>
                <w:kern w:val="0"/>
                <w:sz w:val="20"/>
                <w:highlight w:val="none"/>
              </w:rPr>
            </w:pPr>
            <w:r>
              <w:rPr>
                <w:color w:val="auto"/>
                <w:kern w:val="0"/>
                <w:sz w:val="20"/>
                <w:highlight w:val="none"/>
              </w:rPr>
              <w:t>200m</w:t>
            </w:r>
          </w:p>
        </w:tc>
        <w:tc>
          <w:tcPr>
            <w:tcW w:w="1984" w:type="dxa"/>
            <w:vMerge w:val="continue"/>
            <w:tcBorders>
              <w:top w:val="single" w:color="auto" w:sz="8" w:space="0"/>
              <w:left w:val="single" w:color="auto" w:sz="4" w:space="0"/>
              <w:bottom w:val="single" w:color="auto" w:sz="8" w:space="0"/>
              <w:right w:val="single" w:color="auto" w:sz="8" w:space="0"/>
            </w:tcBorders>
            <w:vAlign w:val="center"/>
          </w:tcPr>
          <w:p>
            <w:pPr>
              <w:widowControl/>
              <w:jc w:val="left"/>
              <w:rPr>
                <w:color w:val="auto"/>
                <w:kern w:val="0"/>
                <w:sz w:val="20"/>
                <w:highlight w:val="none"/>
              </w:rPr>
            </w:pPr>
          </w:p>
        </w:tc>
      </w:tr>
      <w:tr>
        <w:tblPrEx>
          <w:tblCellMar>
            <w:top w:w="0" w:type="dxa"/>
            <w:left w:w="108" w:type="dxa"/>
            <w:bottom w:w="0" w:type="dxa"/>
            <w:right w:w="108" w:type="dxa"/>
          </w:tblCellMar>
        </w:tblPrEx>
        <w:trPr>
          <w:trHeight w:val="397" w:hRule="atLeast"/>
        </w:trPr>
        <w:tc>
          <w:tcPr>
            <w:tcW w:w="3085" w:type="dxa"/>
            <w:gridSpan w:val="5"/>
            <w:tcBorders>
              <w:top w:val="single" w:color="auto" w:sz="8" w:space="0"/>
              <w:left w:val="single" w:color="auto" w:sz="8" w:space="0"/>
              <w:bottom w:val="single" w:color="auto" w:sz="8" w:space="0"/>
              <w:right w:val="single" w:color="auto" w:sz="4" w:space="0"/>
            </w:tcBorders>
            <w:noWrap/>
            <w:vAlign w:val="center"/>
          </w:tcPr>
          <w:p>
            <w:pPr>
              <w:widowControl/>
              <w:jc w:val="center"/>
              <w:rPr>
                <w:color w:val="auto"/>
                <w:kern w:val="0"/>
                <w:sz w:val="20"/>
                <w:highlight w:val="none"/>
              </w:rPr>
            </w:pPr>
            <w:r>
              <w:rPr>
                <w:color w:val="auto"/>
                <w:kern w:val="0"/>
                <w:sz w:val="20"/>
                <w:highlight w:val="none"/>
              </w:rPr>
              <w:t>梁 式 桥</w:t>
            </w:r>
          </w:p>
        </w:tc>
        <w:tc>
          <w:tcPr>
            <w:tcW w:w="2126" w:type="dxa"/>
            <w:tcBorders>
              <w:top w:val="single" w:color="auto" w:sz="8" w:space="0"/>
              <w:left w:val="nil"/>
              <w:bottom w:val="single" w:color="auto" w:sz="8" w:space="0"/>
              <w:right w:val="single" w:color="auto" w:sz="4" w:space="0"/>
            </w:tcBorders>
            <w:noWrap/>
            <w:vAlign w:val="center"/>
          </w:tcPr>
          <w:p>
            <w:pPr>
              <w:widowControl/>
              <w:jc w:val="center"/>
              <w:rPr>
                <w:color w:val="auto"/>
                <w:kern w:val="0"/>
                <w:sz w:val="20"/>
                <w:highlight w:val="none"/>
              </w:rPr>
            </w:pPr>
            <w:r>
              <w:rPr>
                <w:color w:val="auto"/>
                <w:kern w:val="0"/>
                <w:sz w:val="20"/>
                <w:highlight w:val="none"/>
              </w:rPr>
              <w:t>L≥140m</w:t>
            </w:r>
          </w:p>
        </w:tc>
        <w:tc>
          <w:tcPr>
            <w:tcW w:w="2009" w:type="dxa"/>
            <w:tcBorders>
              <w:top w:val="single" w:color="auto" w:sz="8" w:space="0"/>
              <w:left w:val="nil"/>
              <w:bottom w:val="single" w:color="auto" w:sz="8" w:space="0"/>
              <w:right w:val="single" w:color="auto" w:sz="4" w:space="0"/>
            </w:tcBorders>
            <w:noWrap/>
            <w:vAlign w:val="center"/>
          </w:tcPr>
          <w:p>
            <w:pPr>
              <w:widowControl/>
              <w:jc w:val="center"/>
              <w:rPr>
                <w:color w:val="auto"/>
                <w:kern w:val="0"/>
                <w:sz w:val="20"/>
                <w:highlight w:val="none"/>
              </w:rPr>
            </w:pPr>
            <w:r>
              <w:rPr>
                <w:color w:val="auto"/>
                <w:kern w:val="0"/>
                <w:sz w:val="20"/>
                <w:highlight w:val="none"/>
              </w:rPr>
              <w:t>100m</w:t>
            </w:r>
          </w:p>
        </w:tc>
        <w:tc>
          <w:tcPr>
            <w:tcW w:w="1984" w:type="dxa"/>
            <w:vMerge w:val="continue"/>
            <w:tcBorders>
              <w:top w:val="single" w:color="auto" w:sz="8" w:space="0"/>
              <w:left w:val="single" w:color="auto" w:sz="4" w:space="0"/>
              <w:bottom w:val="single" w:color="auto" w:sz="8" w:space="0"/>
              <w:right w:val="single" w:color="auto" w:sz="8" w:space="0"/>
            </w:tcBorders>
            <w:vAlign w:val="center"/>
          </w:tcPr>
          <w:p>
            <w:pPr>
              <w:widowControl/>
              <w:jc w:val="left"/>
              <w:rPr>
                <w:color w:val="auto"/>
                <w:kern w:val="0"/>
                <w:sz w:val="20"/>
                <w:highlight w:val="none"/>
              </w:rPr>
            </w:pPr>
          </w:p>
        </w:tc>
      </w:tr>
      <w:tr>
        <w:tblPrEx>
          <w:tblCellMar>
            <w:top w:w="0" w:type="dxa"/>
            <w:left w:w="108" w:type="dxa"/>
            <w:bottom w:w="0" w:type="dxa"/>
            <w:right w:w="108" w:type="dxa"/>
          </w:tblCellMar>
        </w:tblPrEx>
        <w:trPr>
          <w:trHeight w:val="397" w:hRule="atLeast"/>
        </w:trPr>
        <w:tc>
          <w:tcPr>
            <w:tcW w:w="3085" w:type="dxa"/>
            <w:gridSpan w:val="5"/>
            <w:tcBorders>
              <w:top w:val="single" w:color="auto" w:sz="8" w:space="0"/>
              <w:left w:val="single" w:color="auto" w:sz="8" w:space="0"/>
              <w:bottom w:val="single" w:color="auto" w:sz="8" w:space="0"/>
              <w:right w:val="single" w:color="auto" w:sz="4" w:space="0"/>
            </w:tcBorders>
            <w:noWrap/>
            <w:vAlign w:val="center"/>
          </w:tcPr>
          <w:p>
            <w:pPr>
              <w:widowControl/>
              <w:jc w:val="center"/>
              <w:rPr>
                <w:color w:val="auto"/>
                <w:kern w:val="0"/>
                <w:sz w:val="20"/>
                <w:highlight w:val="none"/>
              </w:rPr>
            </w:pPr>
            <w:r>
              <w:rPr>
                <w:color w:val="auto"/>
                <w:kern w:val="0"/>
                <w:sz w:val="20"/>
                <w:highlight w:val="none"/>
              </w:rPr>
              <w:t>斜 拉 桥</w:t>
            </w:r>
          </w:p>
        </w:tc>
        <w:tc>
          <w:tcPr>
            <w:tcW w:w="2126" w:type="dxa"/>
            <w:tcBorders>
              <w:top w:val="single" w:color="auto" w:sz="8" w:space="0"/>
              <w:left w:val="nil"/>
              <w:bottom w:val="single" w:color="auto" w:sz="8" w:space="0"/>
              <w:right w:val="single" w:color="auto" w:sz="4" w:space="0"/>
            </w:tcBorders>
            <w:noWrap/>
            <w:vAlign w:val="center"/>
          </w:tcPr>
          <w:p>
            <w:pPr>
              <w:widowControl/>
              <w:jc w:val="center"/>
              <w:rPr>
                <w:color w:val="auto"/>
                <w:kern w:val="0"/>
                <w:sz w:val="20"/>
                <w:highlight w:val="none"/>
              </w:rPr>
            </w:pPr>
            <w:r>
              <w:rPr>
                <w:color w:val="auto"/>
                <w:kern w:val="0"/>
                <w:sz w:val="20"/>
                <w:highlight w:val="none"/>
              </w:rPr>
              <w:t>L≥300m</w:t>
            </w:r>
          </w:p>
        </w:tc>
        <w:tc>
          <w:tcPr>
            <w:tcW w:w="2009" w:type="dxa"/>
            <w:tcBorders>
              <w:top w:val="single" w:color="auto" w:sz="8" w:space="0"/>
              <w:left w:val="nil"/>
              <w:bottom w:val="single" w:color="auto" w:sz="8" w:space="0"/>
              <w:right w:val="single" w:color="auto" w:sz="4" w:space="0"/>
            </w:tcBorders>
            <w:noWrap/>
            <w:vAlign w:val="center"/>
          </w:tcPr>
          <w:p>
            <w:pPr>
              <w:widowControl/>
              <w:jc w:val="center"/>
              <w:rPr>
                <w:color w:val="auto"/>
                <w:kern w:val="0"/>
                <w:sz w:val="20"/>
                <w:highlight w:val="none"/>
              </w:rPr>
            </w:pPr>
            <w:r>
              <w:rPr>
                <w:color w:val="auto"/>
                <w:kern w:val="0"/>
                <w:sz w:val="20"/>
                <w:highlight w:val="none"/>
              </w:rPr>
              <w:t>200m</w:t>
            </w:r>
          </w:p>
        </w:tc>
        <w:tc>
          <w:tcPr>
            <w:tcW w:w="1984" w:type="dxa"/>
            <w:vMerge w:val="continue"/>
            <w:tcBorders>
              <w:top w:val="single" w:color="auto" w:sz="8" w:space="0"/>
              <w:left w:val="single" w:color="auto" w:sz="4" w:space="0"/>
              <w:bottom w:val="single" w:color="auto" w:sz="8" w:space="0"/>
              <w:right w:val="single" w:color="auto" w:sz="8" w:space="0"/>
            </w:tcBorders>
            <w:vAlign w:val="center"/>
          </w:tcPr>
          <w:p>
            <w:pPr>
              <w:widowControl/>
              <w:jc w:val="left"/>
              <w:rPr>
                <w:color w:val="auto"/>
                <w:kern w:val="0"/>
                <w:sz w:val="20"/>
                <w:highlight w:val="none"/>
              </w:rPr>
            </w:pPr>
          </w:p>
        </w:tc>
      </w:tr>
      <w:tr>
        <w:tblPrEx>
          <w:tblCellMar>
            <w:top w:w="0" w:type="dxa"/>
            <w:left w:w="108" w:type="dxa"/>
            <w:bottom w:w="0" w:type="dxa"/>
            <w:right w:w="108" w:type="dxa"/>
          </w:tblCellMar>
        </w:tblPrEx>
        <w:trPr>
          <w:trHeight w:val="397" w:hRule="atLeast"/>
        </w:trPr>
        <w:tc>
          <w:tcPr>
            <w:tcW w:w="3085" w:type="dxa"/>
            <w:gridSpan w:val="5"/>
            <w:tcBorders>
              <w:top w:val="single" w:color="auto" w:sz="8" w:space="0"/>
              <w:left w:val="single" w:color="auto" w:sz="8" w:space="0"/>
              <w:bottom w:val="single" w:color="auto" w:sz="8" w:space="0"/>
              <w:right w:val="single" w:color="auto" w:sz="4" w:space="0"/>
            </w:tcBorders>
            <w:noWrap/>
            <w:vAlign w:val="center"/>
          </w:tcPr>
          <w:p>
            <w:pPr>
              <w:widowControl/>
              <w:jc w:val="center"/>
              <w:rPr>
                <w:color w:val="auto"/>
                <w:kern w:val="0"/>
                <w:sz w:val="20"/>
                <w:highlight w:val="none"/>
              </w:rPr>
            </w:pPr>
            <w:r>
              <w:rPr>
                <w:color w:val="auto"/>
                <w:kern w:val="0"/>
                <w:sz w:val="20"/>
                <w:highlight w:val="none"/>
              </w:rPr>
              <w:t>悬 索 桥</w:t>
            </w:r>
          </w:p>
        </w:tc>
        <w:tc>
          <w:tcPr>
            <w:tcW w:w="2126" w:type="dxa"/>
            <w:tcBorders>
              <w:top w:val="single" w:color="auto" w:sz="8" w:space="0"/>
              <w:left w:val="nil"/>
              <w:bottom w:val="single" w:color="auto" w:sz="8" w:space="0"/>
              <w:right w:val="single" w:color="auto" w:sz="4" w:space="0"/>
            </w:tcBorders>
            <w:noWrap/>
            <w:vAlign w:val="center"/>
          </w:tcPr>
          <w:p>
            <w:pPr>
              <w:widowControl/>
              <w:jc w:val="center"/>
              <w:rPr>
                <w:color w:val="auto"/>
                <w:kern w:val="0"/>
                <w:sz w:val="20"/>
                <w:highlight w:val="none"/>
              </w:rPr>
            </w:pPr>
            <w:r>
              <w:rPr>
                <w:color w:val="auto"/>
                <w:kern w:val="0"/>
                <w:sz w:val="20"/>
                <w:highlight w:val="none"/>
              </w:rPr>
              <w:t>L≥500m</w:t>
            </w:r>
          </w:p>
        </w:tc>
        <w:tc>
          <w:tcPr>
            <w:tcW w:w="2009" w:type="dxa"/>
            <w:tcBorders>
              <w:top w:val="single" w:color="auto" w:sz="8" w:space="0"/>
              <w:left w:val="nil"/>
              <w:bottom w:val="single" w:color="auto" w:sz="8" w:space="0"/>
              <w:right w:val="single" w:color="auto" w:sz="4" w:space="0"/>
            </w:tcBorders>
            <w:noWrap/>
            <w:vAlign w:val="center"/>
          </w:tcPr>
          <w:p>
            <w:pPr>
              <w:widowControl/>
              <w:jc w:val="center"/>
              <w:rPr>
                <w:color w:val="auto"/>
                <w:kern w:val="0"/>
                <w:sz w:val="20"/>
                <w:highlight w:val="none"/>
              </w:rPr>
            </w:pPr>
            <w:r>
              <w:rPr>
                <w:color w:val="auto"/>
                <w:kern w:val="0"/>
                <w:sz w:val="20"/>
                <w:highlight w:val="none"/>
              </w:rPr>
              <w:t>300m</w:t>
            </w:r>
          </w:p>
        </w:tc>
        <w:tc>
          <w:tcPr>
            <w:tcW w:w="1984" w:type="dxa"/>
            <w:vMerge w:val="continue"/>
            <w:tcBorders>
              <w:top w:val="single" w:color="auto" w:sz="8" w:space="0"/>
              <w:left w:val="single" w:color="auto" w:sz="4" w:space="0"/>
              <w:bottom w:val="single" w:color="auto" w:sz="8" w:space="0"/>
              <w:right w:val="single" w:color="auto" w:sz="8" w:space="0"/>
            </w:tcBorders>
            <w:vAlign w:val="center"/>
          </w:tcPr>
          <w:p>
            <w:pPr>
              <w:widowControl/>
              <w:jc w:val="left"/>
              <w:rPr>
                <w:color w:val="auto"/>
                <w:kern w:val="0"/>
                <w:sz w:val="20"/>
                <w:highlight w:val="none"/>
              </w:rPr>
            </w:pPr>
          </w:p>
        </w:tc>
      </w:tr>
      <w:tr>
        <w:tblPrEx>
          <w:tblCellMar>
            <w:top w:w="0" w:type="dxa"/>
            <w:left w:w="108" w:type="dxa"/>
            <w:bottom w:w="0" w:type="dxa"/>
            <w:right w:w="108" w:type="dxa"/>
          </w:tblCellMar>
        </w:tblPrEx>
        <w:trPr>
          <w:trHeight w:val="397" w:hRule="atLeast"/>
        </w:trPr>
        <w:tc>
          <w:tcPr>
            <w:tcW w:w="3085" w:type="dxa"/>
            <w:gridSpan w:val="5"/>
            <w:tcBorders>
              <w:top w:val="single" w:color="auto" w:sz="8" w:space="0"/>
              <w:left w:val="single" w:color="auto" w:sz="8" w:space="0"/>
              <w:bottom w:val="single" w:color="auto" w:sz="8" w:space="0"/>
              <w:right w:val="single" w:color="auto" w:sz="4" w:space="0"/>
            </w:tcBorders>
            <w:noWrap/>
            <w:vAlign w:val="center"/>
          </w:tcPr>
          <w:p>
            <w:pPr>
              <w:widowControl/>
              <w:jc w:val="center"/>
              <w:rPr>
                <w:color w:val="auto"/>
                <w:kern w:val="0"/>
                <w:sz w:val="20"/>
                <w:highlight w:val="none"/>
              </w:rPr>
            </w:pPr>
            <w:r>
              <w:rPr>
                <w:rFonts w:hint="eastAsia"/>
                <w:color w:val="auto"/>
                <w:kern w:val="0"/>
                <w:sz w:val="20"/>
                <w:highlight w:val="none"/>
              </w:rPr>
              <w:t>墩</w:t>
            </w:r>
            <w:r>
              <w:rPr>
                <w:color w:val="auto"/>
                <w:kern w:val="0"/>
                <w:sz w:val="20"/>
                <w:highlight w:val="none"/>
              </w:rPr>
              <w:t xml:space="preserve">  </w:t>
            </w:r>
            <w:r>
              <w:rPr>
                <w:rFonts w:hint="eastAsia"/>
                <w:color w:val="auto"/>
                <w:kern w:val="0"/>
                <w:sz w:val="20"/>
                <w:highlight w:val="none"/>
              </w:rPr>
              <w:t>高</w:t>
            </w:r>
          </w:p>
        </w:tc>
        <w:tc>
          <w:tcPr>
            <w:tcW w:w="2126" w:type="dxa"/>
            <w:tcBorders>
              <w:top w:val="single" w:color="auto" w:sz="8" w:space="0"/>
              <w:left w:val="nil"/>
              <w:bottom w:val="single" w:color="auto" w:sz="8" w:space="0"/>
              <w:right w:val="single" w:color="auto" w:sz="4" w:space="0"/>
            </w:tcBorders>
            <w:noWrap/>
            <w:vAlign w:val="center"/>
          </w:tcPr>
          <w:p>
            <w:pPr>
              <w:widowControl/>
              <w:jc w:val="center"/>
              <w:rPr>
                <w:color w:val="auto"/>
                <w:kern w:val="0"/>
                <w:sz w:val="20"/>
                <w:highlight w:val="none"/>
              </w:rPr>
            </w:pPr>
            <w:r>
              <w:rPr>
                <w:rFonts w:hint="eastAsia"/>
                <w:color w:val="auto"/>
                <w:kern w:val="0"/>
                <w:sz w:val="20"/>
                <w:highlight w:val="none"/>
              </w:rPr>
              <w:t>≥</w:t>
            </w:r>
            <w:r>
              <w:rPr>
                <w:color w:val="auto"/>
                <w:kern w:val="0"/>
                <w:sz w:val="20"/>
                <w:highlight w:val="none"/>
              </w:rPr>
              <w:t>80m</w:t>
            </w:r>
          </w:p>
        </w:tc>
        <w:tc>
          <w:tcPr>
            <w:tcW w:w="2009" w:type="dxa"/>
            <w:tcBorders>
              <w:top w:val="single" w:color="auto" w:sz="8" w:space="0"/>
              <w:left w:val="nil"/>
              <w:bottom w:val="single" w:color="auto" w:sz="8" w:space="0"/>
              <w:right w:val="single" w:color="auto" w:sz="4" w:space="0"/>
            </w:tcBorders>
            <w:noWrap/>
            <w:vAlign w:val="center"/>
          </w:tcPr>
          <w:p>
            <w:pPr>
              <w:widowControl/>
              <w:jc w:val="center"/>
              <w:rPr>
                <w:color w:val="auto"/>
                <w:kern w:val="0"/>
                <w:sz w:val="20"/>
                <w:highlight w:val="none"/>
              </w:rPr>
            </w:pPr>
            <w:r>
              <w:rPr>
                <w:color w:val="auto"/>
                <w:kern w:val="0"/>
                <w:sz w:val="20"/>
                <w:highlight w:val="none"/>
              </w:rPr>
              <w:t>50m</w:t>
            </w:r>
          </w:p>
        </w:tc>
        <w:tc>
          <w:tcPr>
            <w:tcW w:w="1984" w:type="dxa"/>
            <w:vMerge w:val="continue"/>
            <w:tcBorders>
              <w:top w:val="single" w:color="auto" w:sz="8" w:space="0"/>
              <w:left w:val="single" w:color="auto" w:sz="4" w:space="0"/>
              <w:bottom w:val="single" w:color="auto" w:sz="8" w:space="0"/>
              <w:right w:val="single" w:color="auto" w:sz="8" w:space="0"/>
            </w:tcBorders>
            <w:vAlign w:val="center"/>
          </w:tcPr>
          <w:p>
            <w:pPr>
              <w:widowControl/>
              <w:jc w:val="left"/>
              <w:rPr>
                <w:color w:val="auto"/>
                <w:kern w:val="0"/>
                <w:sz w:val="20"/>
                <w:highlight w:val="none"/>
              </w:rPr>
            </w:pPr>
          </w:p>
        </w:tc>
      </w:tr>
      <w:tr>
        <w:tblPrEx>
          <w:tblCellMar>
            <w:top w:w="0" w:type="dxa"/>
            <w:left w:w="108" w:type="dxa"/>
            <w:bottom w:w="0" w:type="dxa"/>
            <w:right w:w="108" w:type="dxa"/>
          </w:tblCellMar>
        </w:tblPrEx>
        <w:trPr>
          <w:trHeight w:val="397" w:hRule="atLeast"/>
        </w:trPr>
        <w:tc>
          <w:tcPr>
            <w:tcW w:w="945" w:type="dxa"/>
            <w:gridSpan w:val="2"/>
            <w:vMerge w:val="restart"/>
            <w:tcBorders>
              <w:top w:val="single" w:color="auto" w:sz="8" w:space="0"/>
              <w:left w:val="single" w:color="auto" w:sz="8" w:space="0"/>
              <w:bottom w:val="single" w:color="auto" w:sz="8" w:space="0"/>
              <w:right w:val="single" w:color="auto" w:sz="4" w:space="0"/>
            </w:tcBorders>
            <w:noWrap/>
            <w:vAlign w:val="center"/>
          </w:tcPr>
          <w:p>
            <w:pPr>
              <w:widowControl/>
              <w:jc w:val="center"/>
              <w:rPr>
                <w:color w:val="auto"/>
                <w:kern w:val="0"/>
                <w:sz w:val="20"/>
                <w:highlight w:val="none"/>
              </w:rPr>
            </w:pPr>
            <w:r>
              <w:rPr>
                <w:color w:val="auto"/>
                <w:kern w:val="0"/>
                <w:sz w:val="20"/>
                <w:highlight w:val="none"/>
              </w:rPr>
              <w:t>其他</w:t>
            </w:r>
          </w:p>
        </w:tc>
        <w:tc>
          <w:tcPr>
            <w:tcW w:w="4266" w:type="dxa"/>
            <w:gridSpan w:val="4"/>
            <w:tcBorders>
              <w:top w:val="single" w:color="auto" w:sz="8" w:space="0"/>
              <w:left w:val="single" w:color="auto" w:sz="4" w:space="0"/>
              <w:bottom w:val="single" w:color="auto" w:sz="8" w:space="0"/>
              <w:right w:val="single" w:color="auto" w:sz="4" w:space="0"/>
            </w:tcBorders>
            <w:vAlign w:val="center"/>
          </w:tcPr>
          <w:p>
            <w:pPr>
              <w:widowControl/>
              <w:jc w:val="left"/>
              <w:rPr>
                <w:color w:val="auto"/>
                <w:kern w:val="0"/>
                <w:sz w:val="20"/>
                <w:highlight w:val="none"/>
              </w:rPr>
            </w:pPr>
            <w:r>
              <w:rPr>
                <w:color w:val="auto"/>
                <w:kern w:val="0"/>
                <w:sz w:val="20"/>
                <w:highlight w:val="none"/>
              </w:rPr>
              <w:t>1、施工环境复杂（如海上独立大桥及其长大引桥，沿海边滩涂区高架桥梁，跨越大江、大河、上跨营运高速公路、</w:t>
            </w:r>
            <w:r>
              <w:rPr>
                <w:rFonts w:hint="eastAsia"/>
                <w:color w:val="auto"/>
                <w:kern w:val="0"/>
                <w:sz w:val="20"/>
                <w:highlight w:val="none"/>
              </w:rPr>
              <w:t>城市快速路、</w:t>
            </w:r>
            <w:r>
              <w:rPr>
                <w:color w:val="auto"/>
                <w:kern w:val="0"/>
                <w:sz w:val="20"/>
                <w:highlight w:val="none"/>
              </w:rPr>
              <w:t>上跨或下穿营运铁路</w:t>
            </w:r>
            <w:r>
              <w:rPr>
                <w:rFonts w:hint="eastAsia"/>
                <w:color w:val="auto"/>
                <w:kern w:val="0"/>
                <w:sz w:val="20"/>
                <w:highlight w:val="none"/>
              </w:rPr>
              <w:t>（或轨道交通）</w:t>
            </w:r>
            <w:r>
              <w:rPr>
                <w:color w:val="auto"/>
                <w:kern w:val="0"/>
                <w:sz w:val="20"/>
                <w:highlight w:val="none"/>
              </w:rPr>
              <w:t>桥梁，施工工艺复杂的桥梁工程）</w:t>
            </w:r>
          </w:p>
        </w:tc>
        <w:tc>
          <w:tcPr>
            <w:tcW w:w="2009" w:type="dxa"/>
            <w:vMerge w:val="restart"/>
            <w:tcBorders>
              <w:top w:val="single" w:color="auto" w:sz="8" w:space="0"/>
              <w:left w:val="nil"/>
              <w:bottom w:val="single" w:color="auto" w:sz="8" w:space="0"/>
              <w:right w:val="single" w:color="auto" w:sz="4" w:space="0"/>
            </w:tcBorders>
            <w:noWrap/>
            <w:vAlign w:val="center"/>
          </w:tcPr>
          <w:p>
            <w:pPr>
              <w:widowControl/>
              <w:jc w:val="center"/>
              <w:rPr>
                <w:color w:val="auto"/>
                <w:kern w:val="0"/>
                <w:sz w:val="20"/>
                <w:highlight w:val="none"/>
              </w:rPr>
            </w:pPr>
            <w:r>
              <w:rPr>
                <w:color w:val="auto"/>
                <w:kern w:val="0"/>
                <w:sz w:val="20"/>
                <w:highlight w:val="none"/>
              </w:rPr>
              <w:t>类似结构形式桥梁</w:t>
            </w:r>
          </w:p>
        </w:tc>
        <w:tc>
          <w:tcPr>
            <w:tcW w:w="1984" w:type="dxa"/>
            <w:vMerge w:val="restart"/>
            <w:tcBorders>
              <w:top w:val="single" w:color="auto" w:sz="8" w:space="0"/>
              <w:left w:val="single" w:color="auto" w:sz="4" w:space="0"/>
              <w:bottom w:val="single" w:color="auto" w:sz="8" w:space="0"/>
              <w:right w:val="single" w:color="auto" w:sz="8" w:space="0"/>
            </w:tcBorders>
            <w:vAlign w:val="center"/>
          </w:tcPr>
          <w:p>
            <w:pPr>
              <w:widowControl/>
              <w:jc w:val="left"/>
              <w:rPr>
                <w:color w:val="auto"/>
                <w:kern w:val="0"/>
                <w:sz w:val="20"/>
                <w:highlight w:val="none"/>
              </w:rPr>
            </w:pPr>
            <w:r>
              <w:rPr>
                <w:color w:val="auto"/>
                <w:kern w:val="0"/>
                <w:sz w:val="20"/>
                <w:highlight w:val="none"/>
              </w:rPr>
              <w:t>类似业绩项目加分</w:t>
            </w:r>
          </w:p>
        </w:tc>
      </w:tr>
      <w:tr>
        <w:tblPrEx>
          <w:tblCellMar>
            <w:top w:w="0" w:type="dxa"/>
            <w:left w:w="108" w:type="dxa"/>
            <w:bottom w:w="0" w:type="dxa"/>
            <w:right w:w="108" w:type="dxa"/>
          </w:tblCellMar>
        </w:tblPrEx>
        <w:trPr>
          <w:trHeight w:val="397" w:hRule="atLeast"/>
        </w:trPr>
        <w:tc>
          <w:tcPr>
            <w:tcW w:w="945" w:type="dxa"/>
            <w:gridSpan w:val="2"/>
            <w:vMerge w:val="continue"/>
            <w:tcBorders>
              <w:top w:val="single" w:color="auto" w:sz="8" w:space="0"/>
              <w:left w:val="single" w:color="auto" w:sz="8" w:space="0"/>
              <w:bottom w:val="single" w:color="auto" w:sz="8" w:space="0"/>
              <w:right w:val="single" w:color="auto" w:sz="4" w:space="0"/>
            </w:tcBorders>
            <w:noWrap/>
            <w:vAlign w:val="center"/>
          </w:tcPr>
          <w:p>
            <w:pPr>
              <w:widowControl/>
              <w:rPr>
                <w:color w:val="auto"/>
                <w:kern w:val="0"/>
                <w:sz w:val="20"/>
                <w:highlight w:val="none"/>
              </w:rPr>
            </w:pPr>
          </w:p>
        </w:tc>
        <w:tc>
          <w:tcPr>
            <w:tcW w:w="4266" w:type="dxa"/>
            <w:gridSpan w:val="4"/>
            <w:tcBorders>
              <w:top w:val="single" w:color="auto" w:sz="8" w:space="0"/>
              <w:left w:val="single" w:color="auto" w:sz="4" w:space="0"/>
              <w:bottom w:val="single" w:color="auto" w:sz="8" w:space="0"/>
              <w:right w:val="single" w:color="auto" w:sz="4" w:space="0"/>
            </w:tcBorders>
            <w:vAlign w:val="center"/>
          </w:tcPr>
          <w:p>
            <w:pPr>
              <w:jc w:val="left"/>
              <w:rPr>
                <w:color w:val="auto"/>
                <w:kern w:val="0"/>
                <w:sz w:val="20"/>
                <w:highlight w:val="none"/>
              </w:rPr>
            </w:pPr>
            <w:r>
              <w:rPr>
                <w:color w:val="auto"/>
                <w:kern w:val="0"/>
                <w:sz w:val="20"/>
                <w:highlight w:val="none"/>
              </w:rPr>
              <w:t>2、特殊桥型或特殊结构桥梁的拆除或加固工程</w:t>
            </w:r>
          </w:p>
        </w:tc>
        <w:tc>
          <w:tcPr>
            <w:tcW w:w="2009" w:type="dxa"/>
            <w:vMerge w:val="continue"/>
            <w:tcBorders>
              <w:top w:val="single" w:color="auto" w:sz="8" w:space="0"/>
              <w:left w:val="nil"/>
              <w:bottom w:val="single" w:color="auto" w:sz="8" w:space="0"/>
              <w:right w:val="single" w:color="auto" w:sz="4" w:space="0"/>
            </w:tcBorders>
            <w:noWrap/>
            <w:vAlign w:val="center"/>
          </w:tcPr>
          <w:p>
            <w:pPr>
              <w:widowControl/>
              <w:jc w:val="center"/>
              <w:rPr>
                <w:color w:val="auto"/>
                <w:kern w:val="0"/>
                <w:sz w:val="20"/>
                <w:highlight w:val="none"/>
              </w:rPr>
            </w:pPr>
          </w:p>
        </w:tc>
        <w:tc>
          <w:tcPr>
            <w:tcW w:w="1984" w:type="dxa"/>
            <w:vMerge w:val="continue"/>
            <w:tcBorders>
              <w:top w:val="single" w:color="auto" w:sz="8" w:space="0"/>
              <w:left w:val="single" w:color="auto" w:sz="4" w:space="0"/>
              <w:bottom w:val="single" w:color="auto" w:sz="8" w:space="0"/>
              <w:right w:val="single" w:color="auto" w:sz="8" w:space="0"/>
            </w:tcBorders>
            <w:vAlign w:val="center"/>
          </w:tcPr>
          <w:p>
            <w:pPr>
              <w:widowControl/>
              <w:jc w:val="left"/>
              <w:rPr>
                <w:color w:val="auto"/>
                <w:kern w:val="0"/>
                <w:sz w:val="20"/>
                <w:highlight w:val="none"/>
              </w:rPr>
            </w:pPr>
          </w:p>
        </w:tc>
      </w:tr>
      <w:tr>
        <w:tblPrEx>
          <w:tblCellMar>
            <w:top w:w="0" w:type="dxa"/>
            <w:left w:w="108" w:type="dxa"/>
            <w:bottom w:w="0" w:type="dxa"/>
            <w:right w:w="108" w:type="dxa"/>
          </w:tblCellMar>
        </w:tblPrEx>
        <w:trPr>
          <w:trHeight w:val="397" w:hRule="atLeast"/>
        </w:trPr>
        <w:tc>
          <w:tcPr>
            <w:tcW w:w="9204" w:type="dxa"/>
            <w:gridSpan w:val="8"/>
            <w:tcBorders>
              <w:top w:val="single" w:color="auto" w:sz="8" w:space="0"/>
              <w:left w:val="single" w:color="auto" w:sz="8" w:space="0"/>
              <w:bottom w:val="single" w:color="auto" w:sz="8" w:space="0"/>
              <w:right w:val="single" w:color="auto" w:sz="8" w:space="0"/>
            </w:tcBorders>
            <w:noWrap/>
            <w:vAlign w:val="center"/>
          </w:tcPr>
          <w:p>
            <w:pPr>
              <w:widowControl/>
              <w:jc w:val="center"/>
              <w:rPr>
                <w:color w:val="auto"/>
                <w:kern w:val="0"/>
                <w:sz w:val="20"/>
                <w:highlight w:val="none"/>
              </w:rPr>
            </w:pPr>
            <w:r>
              <w:rPr>
                <w:color w:val="auto"/>
                <w:kern w:val="0"/>
                <w:sz w:val="20"/>
                <w:highlight w:val="none"/>
              </w:rPr>
              <w:t>隧  道  工  程</w:t>
            </w:r>
          </w:p>
        </w:tc>
      </w:tr>
      <w:tr>
        <w:tblPrEx>
          <w:tblCellMar>
            <w:top w:w="0" w:type="dxa"/>
            <w:left w:w="108" w:type="dxa"/>
            <w:bottom w:w="0" w:type="dxa"/>
            <w:right w:w="108" w:type="dxa"/>
          </w:tblCellMar>
        </w:tblPrEx>
        <w:trPr>
          <w:trHeight w:val="397" w:hRule="atLeast"/>
        </w:trPr>
        <w:tc>
          <w:tcPr>
            <w:tcW w:w="2660" w:type="dxa"/>
            <w:gridSpan w:val="4"/>
            <w:tcBorders>
              <w:top w:val="single" w:color="auto" w:sz="8" w:space="0"/>
              <w:left w:val="single" w:color="auto" w:sz="8" w:space="0"/>
              <w:bottom w:val="single" w:color="auto" w:sz="8" w:space="0"/>
              <w:right w:val="single" w:color="auto" w:sz="4" w:space="0"/>
            </w:tcBorders>
            <w:noWrap/>
            <w:vAlign w:val="center"/>
          </w:tcPr>
          <w:p>
            <w:pPr>
              <w:widowControl/>
              <w:jc w:val="center"/>
              <w:rPr>
                <w:color w:val="auto"/>
                <w:kern w:val="0"/>
                <w:sz w:val="20"/>
                <w:highlight w:val="none"/>
              </w:rPr>
            </w:pPr>
            <w:r>
              <w:rPr>
                <w:color w:val="auto"/>
                <w:kern w:val="0"/>
                <w:sz w:val="20"/>
                <w:highlight w:val="none"/>
              </w:rPr>
              <w:t>结构形式或范围</w:t>
            </w:r>
          </w:p>
        </w:tc>
        <w:tc>
          <w:tcPr>
            <w:tcW w:w="2551" w:type="dxa"/>
            <w:gridSpan w:val="2"/>
            <w:tcBorders>
              <w:top w:val="single" w:color="auto" w:sz="8" w:space="0"/>
              <w:left w:val="nil"/>
              <w:bottom w:val="single" w:color="auto" w:sz="8" w:space="0"/>
              <w:right w:val="single" w:color="auto" w:sz="4" w:space="0"/>
            </w:tcBorders>
            <w:noWrap/>
            <w:vAlign w:val="center"/>
          </w:tcPr>
          <w:p>
            <w:pPr>
              <w:widowControl/>
              <w:jc w:val="center"/>
              <w:rPr>
                <w:color w:val="auto"/>
                <w:kern w:val="0"/>
                <w:sz w:val="20"/>
                <w:highlight w:val="none"/>
              </w:rPr>
            </w:pPr>
            <w:r>
              <w:rPr>
                <w:rFonts w:hint="eastAsia"/>
                <w:color w:val="auto"/>
                <w:kern w:val="0"/>
                <w:sz w:val="20"/>
                <w:highlight w:val="none"/>
              </w:rPr>
              <w:t>招标标段单座</w:t>
            </w:r>
          </w:p>
          <w:p>
            <w:pPr>
              <w:widowControl/>
              <w:jc w:val="center"/>
              <w:rPr>
                <w:color w:val="auto"/>
                <w:kern w:val="0"/>
                <w:sz w:val="20"/>
                <w:highlight w:val="none"/>
              </w:rPr>
            </w:pPr>
            <w:r>
              <w:rPr>
                <w:color w:val="auto"/>
                <w:kern w:val="0"/>
                <w:sz w:val="20"/>
                <w:highlight w:val="none"/>
              </w:rPr>
              <w:t>隧道长度L</w:t>
            </w:r>
          </w:p>
        </w:tc>
        <w:tc>
          <w:tcPr>
            <w:tcW w:w="2009" w:type="dxa"/>
            <w:tcBorders>
              <w:top w:val="single" w:color="auto" w:sz="8" w:space="0"/>
              <w:left w:val="nil"/>
              <w:bottom w:val="single" w:color="auto" w:sz="8" w:space="0"/>
              <w:right w:val="single" w:color="000000" w:sz="8" w:space="0"/>
            </w:tcBorders>
            <w:noWrap/>
            <w:vAlign w:val="center"/>
          </w:tcPr>
          <w:p>
            <w:pPr>
              <w:widowControl/>
              <w:jc w:val="center"/>
              <w:rPr>
                <w:color w:val="auto"/>
                <w:kern w:val="0"/>
                <w:sz w:val="20"/>
                <w:highlight w:val="none"/>
              </w:rPr>
            </w:pPr>
            <w:r>
              <w:rPr>
                <w:color w:val="auto"/>
                <w:kern w:val="0"/>
                <w:sz w:val="20"/>
                <w:highlight w:val="none"/>
              </w:rPr>
              <w:t>“资格审查条件（业绩最低要求）”设置标准</w:t>
            </w:r>
          </w:p>
        </w:tc>
        <w:tc>
          <w:tcPr>
            <w:tcW w:w="1984" w:type="dxa"/>
            <w:tcBorders>
              <w:top w:val="single" w:color="auto" w:sz="8" w:space="0"/>
              <w:left w:val="nil"/>
              <w:bottom w:val="single" w:color="auto" w:sz="8" w:space="0"/>
              <w:right w:val="single" w:color="auto" w:sz="8" w:space="0"/>
            </w:tcBorders>
            <w:vAlign w:val="center"/>
          </w:tcPr>
          <w:p>
            <w:pPr>
              <w:widowControl/>
              <w:jc w:val="center"/>
              <w:rPr>
                <w:color w:val="auto"/>
                <w:kern w:val="0"/>
                <w:sz w:val="20"/>
                <w:highlight w:val="none"/>
              </w:rPr>
            </w:pPr>
            <w:r>
              <w:rPr>
                <w:color w:val="auto"/>
                <w:kern w:val="0"/>
                <w:sz w:val="20"/>
                <w:highlight w:val="none"/>
              </w:rPr>
              <w:t>其他</w:t>
            </w:r>
          </w:p>
        </w:tc>
      </w:tr>
      <w:tr>
        <w:tblPrEx>
          <w:tblCellMar>
            <w:top w:w="0" w:type="dxa"/>
            <w:left w:w="108" w:type="dxa"/>
            <w:bottom w:w="0" w:type="dxa"/>
            <w:right w:w="108" w:type="dxa"/>
          </w:tblCellMar>
        </w:tblPrEx>
        <w:trPr>
          <w:trHeight w:val="397" w:hRule="atLeast"/>
        </w:trPr>
        <w:tc>
          <w:tcPr>
            <w:tcW w:w="2660" w:type="dxa"/>
            <w:gridSpan w:val="4"/>
            <w:vMerge w:val="restart"/>
            <w:tcBorders>
              <w:top w:val="single" w:color="auto" w:sz="8" w:space="0"/>
              <w:left w:val="single" w:color="auto" w:sz="8" w:space="0"/>
              <w:bottom w:val="single" w:color="auto" w:sz="8" w:space="0"/>
              <w:right w:val="single" w:color="auto" w:sz="4" w:space="0"/>
            </w:tcBorders>
            <w:noWrap/>
            <w:vAlign w:val="center"/>
          </w:tcPr>
          <w:p>
            <w:pPr>
              <w:widowControl/>
              <w:jc w:val="center"/>
              <w:rPr>
                <w:color w:val="auto"/>
                <w:kern w:val="0"/>
                <w:sz w:val="20"/>
                <w:highlight w:val="none"/>
              </w:rPr>
            </w:pPr>
            <w:r>
              <w:rPr>
                <w:color w:val="auto"/>
                <w:kern w:val="0"/>
                <w:sz w:val="20"/>
                <w:highlight w:val="none"/>
              </w:rPr>
              <w:t>设置通风井的特长隧道</w:t>
            </w:r>
          </w:p>
        </w:tc>
        <w:tc>
          <w:tcPr>
            <w:tcW w:w="2551" w:type="dxa"/>
            <w:gridSpan w:val="2"/>
            <w:tcBorders>
              <w:top w:val="single" w:color="auto" w:sz="8" w:space="0"/>
              <w:left w:val="nil"/>
              <w:bottom w:val="single" w:color="auto" w:sz="8" w:space="0"/>
              <w:right w:val="single" w:color="auto" w:sz="4" w:space="0"/>
            </w:tcBorders>
            <w:noWrap/>
            <w:vAlign w:val="center"/>
          </w:tcPr>
          <w:p>
            <w:pPr>
              <w:widowControl/>
              <w:jc w:val="center"/>
              <w:rPr>
                <w:color w:val="auto"/>
                <w:kern w:val="0"/>
                <w:sz w:val="20"/>
                <w:highlight w:val="none"/>
              </w:rPr>
            </w:pPr>
            <w:r>
              <w:rPr>
                <w:color w:val="auto"/>
                <w:kern w:val="0"/>
                <w:sz w:val="20"/>
                <w:highlight w:val="none"/>
              </w:rPr>
              <w:t>≥3000m</w:t>
            </w:r>
          </w:p>
        </w:tc>
        <w:tc>
          <w:tcPr>
            <w:tcW w:w="2009" w:type="dxa"/>
            <w:tcBorders>
              <w:top w:val="single" w:color="auto" w:sz="8" w:space="0"/>
              <w:left w:val="nil"/>
              <w:bottom w:val="single" w:color="auto" w:sz="8" w:space="0"/>
              <w:right w:val="single" w:color="000000" w:sz="8" w:space="0"/>
            </w:tcBorders>
            <w:noWrap/>
            <w:vAlign w:val="center"/>
          </w:tcPr>
          <w:p>
            <w:pPr>
              <w:widowControl/>
              <w:jc w:val="center"/>
              <w:rPr>
                <w:color w:val="auto"/>
                <w:kern w:val="0"/>
                <w:sz w:val="20"/>
                <w:highlight w:val="none"/>
              </w:rPr>
            </w:pPr>
            <w:r>
              <w:rPr>
                <w:color w:val="auto"/>
                <w:kern w:val="0"/>
                <w:sz w:val="20"/>
                <w:highlight w:val="none"/>
              </w:rPr>
              <w:t>1000m</w:t>
            </w:r>
          </w:p>
        </w:tc>
        <w:tc>
          <w:tcPr>
            <w:tcW w:w="1984" w:type="dxa"/>
            <w:vMerge w:val="restart"/>
            <w:tcBorders>
              <w:top w:val="single" w:color="auto" w:sz="8" w:space="0"/>
              <w:left w:val="nil"/>
              <w:bottom w:val="single" w:color="auto" w:sz="8" w:space="0"/>
              <w:right w:val="single" w:color="auto" w:sz="8" w:space="0"/>
            </w:tcBorders>
            <w:vAlign w:val="center"/>
          </w:tcPr>
          <w:p>
            <w:pPr>
              <w:widowControl/>
              <w:jc w:val="center"/>
              <w:rPr>
                <w:color w:val="auto"/>
                <w:kern w:val="0"/>
                <w:sz w:val="20"/>
                <w:highlight w:val="none"/>
              </w:rPr>
            </w:pPr>
            <w:r>
              <w:rPr>
                <w:color w:val="auto"/>
                <w:kern w:val="0"/>
                <w:sz w:val="20"/>
                <w:highlight w:val="none"/>
              </w:rPr>
              <w:t>加分业绩可按标段最长隧道的60%-80%设置</w:t>
            </w:r>
          </w:p>
        </w:tc>
      </w:tr>
      <w:tr>
        <w:tblPrEx>
          <w:tblCellMar>
            <w:top w:w="0" w:type="dxa"/>
            <w:left w:w="108" w:type="dxa"/>
            <w:bottom w:w="0" w:type="dxa"/>
            <w:right w:w="108" w:type="dxa"/>
          </w:tblCellMar>
        </w:tblPrEx>
        <w:trPr>
          <w:trHeight w:val="397" w:hRule="atLeast"/>
        </w:trPr>
        <w:tc>
          <w:tcPr>
            <w:tcW w:w="2660" w:type="dxa"/>
            <w:gridSpan w:val="4"/>
            <w:vMerge w:val="continue"/>
            <w:tcBorders>
              <w:top w:val="single" w:color="auto" w:sz="8" w:space="0"/>
              <w:left w:val="single" w:color="auto" w:sz="8" w:space="0"/>
              <w:bottom w:val="single" w:color="auto" w:sz="8" w:space="0"/>
              <w:right w:val="single" w:color="auto" w:sz="4" w:space="0"/>
            </w:tcBorders>
            <w:noWrap/>
            <w:vAlign w:val="center"/>
          </w:tcPr>
          <w:p>
            <w:pPr>
              <w:widowControl/>
              <w:jc w:val="center"/>
              <w:rPr>
                <w:color w:val="auto"/>
                <w:kern w:val="0"/>
                <w:sz w:val="20"/>
                <w:highlight w:val="none"/>
              </w:rPr>
            </w:pPr>
          </w:p>
        </w:tc>
        <w:tc>
          <w:tcPr>
            <w:tcW w:w="2551" w:type="dxa"/>
            <w:gridSpan w:val="2"/>
            <w:tcBorders>
              <w:top w:val="single" w:color="auto" w:sz="8" w:space="0"/>
              <w:left w:val="nil"/>
              <w:bottom w:val="single" w:color="auto" w:sz="8" w:space="0"/>
              <w:right w:val="single" w:color="auto" w:sz="4" w:space="0"/>
            </w:tcBorders>
            <w:noWrap/>
            <w:vAlign w:val="center"/>
          </w:tcPr>
          <w:p>
            <w:pPr>
              <w:widowControl/>
              <w:jc w:val="center"/>
              <w:rPr>
                <w:color w:val="auto"/>
                <w:kern w:val="0"/>
                <w:sz w:val="20"/>
                <w:highlight w:val="none"/>
              </w:rPr>
            </w:pPr>
            <w:r>
              <w:rPr>
                <w:color w:val="auto"/>
                <w:kern w:val="0"/>
                <w:sz w:val="20"/>
                <w:highlight w:val="none"/>
              </w:rPr>
              <w:t>≥5000m</w:t>
            </w:r>
          </w:p>
        </w:tc>
        <w:tc>
          <w:tcPr>
            <w:tcW w:w="2009" w:type="dxa"/>
            <w:tcBorders>
              <w:top w:val="single" w:color="auto" w:sz="8" w:space="0"/>
              <w:left w:val="nil"/>
              <w:bottom w:val="single" w:color="auto" w:sz="8" w:space="0"/>
              <w:right w:val="single" w:color="000000" w:sz="8" w:space="0"/>
            </w:tcBorders>
            <w:noWrap/>
            <w:vAlign w:val="center"/>
          </w:tcPr>
          <w:p>
            <w:pPr>
              <w:widowControl/>
              <w:jc w:val="center"/>
              <w:rPr>
                <w:color w:val="auto"/>
                <w:kern w:val="0"/>
                <w:sz w:val="20"/>
                <w:highlight w:val="none"/>
              </w:rPr>
            </w:pPr>
            <w:r>
              <w:rPr>
                <w:color w:val="auto"/>
                <w:kern w:val="0"/>
                <w:sz w:val="20"/>
                <w:highlight w:val="none"/>
              </w:rPr>
              <w:t>3000m</w:t>
            </w:r>
          </w:p>
        </w:tc>
        <w:tc>
          <w:tcPr>
            <w:tcW w:w="1984" w:type="dxa"/>
            <w:vMerge w:val="continue"/>
            <w:tcBorders>
              <w:top w:val="single" w:color="auto" w:sz="8" w:space="0"/>
              <w:left w:val="nil"/>
              <w:bottom w:val="single" w:color="auto" w:sz="8" w:space="0"/>
              <w:right w:val="single" w:color="auto" w:sz="8" w:space="0"/>
            </w:tcBorders>
            <w:vAlign w:val="center"/>
          </w:tcPr>
          <w:p>
            <w:pPr>
              <w:widowControl/>
              <w:jc w:val="center"/>
              <w:rPr>
                <w:color w:val="auto"/>
                <w:kern w:val="0"/>
                <w:sz w:val="20"/>
                <w:highlight w:val="none"/>
              </w:rPr>
            </w:pPr>
          </w:p>
        </w:tc>
      </w:tr>
      <w:tr>
        <w:tblPrEx>
          <w:tblCellMar>
            <w:top w:w="0" w:type="dxa"/>
            <w:left w:w="108" w:type="dxa"/>
            <w:bottom w:w="0" w:type="dxa"/>
            <w:right w:w="108" w:type="dxa"/>
          </w:tblCellMar>
        </w:tblPrEx>
        <w:trPr>
          <w:trHeight w:val="397" w:hRule="atLeast"/>
        </w:trPr>
        <w:tc>
          <w:tcPr>
            <w:tcW w:w="959" w:type="dxa"/>
            <w:gridSpan w:val="3"/>
            <w:vMerge w:val="restart"/>
            <w:tcBorders>
              <w:top w:val="single" w:color="auto" w:sz="8" w:space="0"/>
              <w:left w:val="single" w:color="auto" w:sz="8" w:space="0"/>
              <w:bottom w:val="single" w:color="auto" w:sz="8" w:space="0"/>
              <w:right w:val="single" w:color="auto" w:sz="4" w:space="0"/>
            </w:tcBorders>
            <w:noWrap/>
            <w:vAlign w:val="center"/>
          </w:tcPr>
          <w:p>
            <w:pPr>
              <w:widowControl/>
              <w:jc w:val="center"/>
              <w:rPr>
                <w:color w:val="auto"/>
                <w:kern w:val="0"/>
                <w:sz w:val="20"/>
                <w:highlight w:val="none"/>
              </w:rPr>
            </w:pPr>
            <w:r>
              <w:rPr>
                <w:color w:val="auto"/>
                <w:kern w:val="0"/>
                <w:sz w:val="20"/>
                <w:highlight w:val="none"/>
              </w:rPr>
              <w:t>其他</w:t>
            </w:r>
          </w:p>
        </w:tc>
        <w:tc>
          <w:tcPr>
            <w:tcW w:w="4252" w:type="dxa"/>
            <w:gridSpan w:val="3"/>
            <w:tcBorders>
              <w:top w:val="single" w:color="auto" w:sz="8" w:space="0"/>
              <w:left w:val="single" w:color="auto" w:sz="4" w:space="0"/>
              <w:bottom w:val="single" w:color="auto" w:sz="8" w:space="0"/>
              <w:right w:val="single" w:color="auto" w:sz="4" w:space="0"/>
            </w:tcBorders>
            <w:vAlign w:val="center"/>
          </w:tcPr>
          <w:p>
            <w:pPr>
              <w:widowControl/>
              <w:jc w:val="left"/>
              <w:rPr>
                <w:color w:val="auto"/>
                <w:kern w:val="0"/>
                <w:sz w:val="20"/>
                <w:highlight w:val="none"/>
              </w:rPr>
            </w:pPr>
            <w:r>
              <w:rPr>
                <w:color w:val="auto"/>
                <w:kern w:val="0"/>
                <w:sz w:val="20"/>
                <w:highlight w:val="none"/>
              </w:rPr>
              <w:t>1、单洞三车道且长度1000m以上的隧道工程，或单洞四车道及以上的隧道工程</w:t>
            </w:r>
          </w:p>
        </w:tc>
        <w:tc>
          <w:tcPr>
            <w:tcW w:w="2009" w:type="dxa"/>
            <w:vMerge w:val="restart"/>
            <w:tcBorders>
              <w:top w:val="single" w:color="auto" w:sz="8" w:space="0"/>
              <w:left w:val="nil"/>
              <w:bottom w:val="single" w:color="auto" w:sz="8" w:space="0"/>
              <w:right w:val="single" w:color="000000" w:sz="8" w:space="0"/>
            </w:tcBorders>
            <w:noWrap/>
            <w:vAlign w:val="center"/>
          </w:tcPr>
          <w:p>
            <w:pPr>
              <w:widowControl/>
              <w:jc w:val="center"/>
              <w:rPr>
                <w:color w:val="auto"/>
                <w:kern w:val="0"/>
                <w:sz w:val="20"/>
                <w:highlight w:val="none"/>
              </w:rPr>
            </w:pPr>
            <w:r>
              <w:rPr>
                <w:color w:val="auto"/>
                <w:kern w:val="0"/>
                <w:sz w:val="20"/>
                <w:highlight w:val="none"/>
              </w:rPr>
              <w:t>类似结构形式隧道</w:t>
            </w:r>
          </w:p>
        </w:tc>
        <w:tc>
          <w:tcPr>
            <w:tcW w:w="1984" w:type="dxa"/>
            <w:vMerge w:val="restart"/>
            <w:tcBorders>
              <w:top w:val="single" w:color="auto" w:sz="8" w:space="0"/>
              <w:left w:val="nil"/>
              <w:bottom w:val="single" w:color="auto" w:sz="8" w:space="0"/>
              <w:right w:val="single" w:color="auto" w:sz="8" w:space="0"/>
            </w:tcBorders>
            <w:vAlign w:val="center"/>
          </w:tcPr>
          <w:p>
            <w:pPr>
              <w:widowControl/>
              <w:jc w:val="center"/>
              <w:rPr>
                <w:color w:val="auto"/>
                <w:kern w:val="0"/>
                <w:sz w:val="20"/>
                <w:highlight w:val="none"/>
              </w:rPr>
            </w:pPr>
            <w:r>
              <w:rPr>
                <w:color w:val="auto"/>
                <w:kern w:val="0"/>
                <w:sz w:val="20"/>
                <w:highlight w:val="none"/>
              </w:rPr>
              <w:t>类似业绩项目加分</w:t>
            </w:r>
          </w:p>
        </w:tc>
      </w:tr>
      <w:tr>
        <w:tblPrEx>
          <w:tblCellMar>
            <w:top w:w="0" w:type="dxa"/>
            <w:left w:w="108" w:type="dxa"/>
            <w:bottom w:w="0" w:type="dxa"/>
            <w:right w:w="108" w:type="dxa"/>
          </w:tblCellMar>
        </w:tblPrEx>
        <w:trPr>
          <w:trHeight w:val="397" w:hRule="atLeast"/>
        </w:trPr>
        <w:tc>
          <w:tcPr>
            <w:tcW w:w="959" w:type="dxa"/>
            <w:gridSpan w:val="3"/>
            <w:vMerge w:val="continue"/>
            <w:tcBorders>
              <w:top w:val="single" w:color="auto" w:sz="8" w:space="0"/>
              <w:left w:val="single" w:color="auto" w:sz="8" w:space="0"/>
              <w:bottom w:val="single" w:color="auto" w:sz="8" w:space="0"/>
              <w:right w:val="single" w:color="auto" w:sz="4" w:space="0"/>
            </w:tcBorders>
            <w:noWrap/>
            <w:vAlign w:val="center"/>
          </w:tcPr>
          <w:p>
            <w:pPr>
              <w:widowControl/>
              <w:jc w:val="left"/>
              <w:rPr>
                <w:color w:val="auto"/>
                <w:kern w:val="0"/>
                <w:sz w:val="20"/>
                <w:highlight w:val="none"/>
              </w:rPr>
            </w:pPr>
          </w:p>
        </w:tc>
        <w:tc>
          <w:tcPr>
            <w:tcW w:w="4252" w:type="dxa"/>
            <w:gridSpan w:val="3"/>
            <w:tcBorders>
              <w:top w:val="single" w:color="auto" w:sz="8" w:space="0"/>
              <w:left w:val="single" w:color="auto" w:sz="4" w:space="0"/>
              <w:bottom w:val="single" w:color="auto" w:sz="8" w:space="0"/>
              <w:right w:val="single" w:color="auto" w:sz="4" w:space="0"/>
            </w:tcBorders>
            <w:vAlign w:val="center"/>
          </w:tcPr>
          <w:p>
            <w:pPr>
              <w:widowControl/>
              <w:jc w:val="left"/>
              <w:rPr>
                <w:color w:val="auto"/>
                <w:kern w:val="0"/>
                <w:sz w:val="20"/>
                <w:highlight w:val="none"/>
              </w:rPr>
            </w:pPr>
            <w:r>
              <w:rPr>
                <w:color w:val="auto"/>
                <w:kern w:val="0"/>
                <w:sz w:val="20"/>
                <w:highlight w:val="none"/>
              </w:rPr>
              <w:t>2、穿越高地应力区、岩溶发育区、区域地质构造、采空区、水下等施工环境复杂的其他隧道工程</w:t>
            </w:r>
          </w:p>
        </w:tc>
        <w:tc>
          <w:tcPr>
            <w:tcW w:w="2009" w:type="dxa"/>
            <w:vMerge w:val="continue"/>
            <w:tcBorders>
              <w:top w:val="single" w:color="auto" w:sz="8" w:space="0"/>
              <w:left w:val="nil"/>
              <w:bottom w:val="single" w:color="auto" w:sz="8" w:space="0"/>
              <w:right w:val="single" w:color="000000" w:sz="8" w:space="0"/>
            </w:tcBorders>
            <w:noWrap/>
            <w:vAlign w:val="center"/>
          </w:tcPr>
          <w:p>
            <w:pPr>
              <w:widowControl/>
              <w:jc w:val="center"/>
              <w:rPr>
                <w:color w:val="auto"/>
                <w:kern w:val="0"/>
                <w:sz w:val="20"/>
                <w:highlight w:val="none"/>
              </w:rPr>
            </w:pPr>
          </w:p>
        </w:tc>
        <w:tc>
          <w:tcPr>
            <w:tcW w:w="1984" w:type="dxa"/>
            <w:vMerge w:val="continue"/>
            <w:tcBorders>
              <w:top w:val="single" w:color="auto" w:sz="8" w:space="0"/>
              <w:left w:val="nil"/>
              <w:bottom w:val="single" w:color="auto" w:sz="8" w:space="0"/>
              <w:right w:val="single" w:color="auto" w:sz="8" w:space="0"/>
            </w:tcBorders>
            <w:vAlign w:val="center"/>
          </w:tcPr>
          <w:p>
            <w:pPr>
              <w:widowControl/>
              <w:jc w:val="center"/>
              <w:rPr>
                <w:color w:val="auto"/>
                <w:kern w:val="0"/>
                <w:sz w:val="20"/>
                <w:highlight w:val="none"/>
              </w:rPr>
            </w:pPr>
          </w:p>
        </w:tc>
      </w:tr>
    </w:tbl>
    <w:p>
      <w:pPr>
        <w:spacing w:line="440" w:lineRule="exact"/>
        <w:ind w:firstLine="408" w:firstLineChars="200"/>
        <w:rPr>
          <w:rFonts w:eastAsia="宋体"/>
          <w:color w:val="auto"/>
          <w:sz w:val="21"/>
          <w:szCs w:val="21"/>
          <w:highlight w:val="none"/>
        </w:rPr>
      </w:pPr>
      <w:r>
        <w:rPr>
          <w:rFonts w:eastAsia="宋体"/>
          <w:color w:val="auto"/>
          <w:sz w:val="21"/>
          <w:szCs w:val="21"/>
          <w:highlight w:val="none"/>
        </w:rPr>
        <w:t>符合适用条件的项目其业绩最低要求统一按上表中数值设置。</w:t>
      </w:r>
    </w:p>
    <w:p>
      <w:pPr>
        <w:spacing w:line="440" w:lineRule="exact"/>
        <w:ind w:firstLine="408" w:firstLineChars="200"/>
        <w:rPr>
          <w:rFonts w:eastAsia="宋体"/>
          <w:color w:val="auto"/>
          <w:sz w:val="21"/>
          <w:szCs w:val="21"/>
          <w:highlight w:val="none"/>
        </w:rPr>
      </w:pPr>
      <w:r>
        <w:rPr>
          <w:rFonts w:eastAsia="宋体"/>
          <w:color w:val="auto"/>
          <w:sz w:val="21"/>
          <w:szCs w:val="21"/>
          <w:highlight w:val="none"/>
        </w:rPr>
        <w:t>因施工环境复杂、特殊桥型等其他情况适用“综合评分法”，但需将其他类似业绩作为资格审查条件的，可按照</w:t>
      </w:r>
      <w:r>
        <w:rPr>
          <w:rFonts w:hint="eastAsia" w:eastAsia="宋体"/>
          <w:color w:val="auto"/>
          <w:sz w:val="21"/>
          <w:szCs w:val="21"/>
          <w:highlight w:val="none"/>
        </w:rPr>
        <w:t>“技术通过制的合理低价法”或“技术打分制的合理低价法”</w:t>
      </w:r>
      <w:r>
        <w:rPr>
          <w:rFonts w:eastAsia="宋体"/>
          <w:color w:val="auto"/>
          <w:sz w:val="21"/>
          <w:szCs w:val="21"/>
          <w:highlight w:val="none"/>
        </w:rPr>
        <w:t>业绩设置标准设置。</w:t>
      </w:r>
    </w:p>
    <w:p>
      <w:pPr>
        <w:spacing w:line="440" w:lineRule="exact"/>
        <w:ind w:firstLine="408" w:firstLineChars="200"/>
        <w:rPr>
          <w:rFonts w:eastAsia="宋体"/>
          <w:color w:val="auto"/>
          <w:sz w:val="21"/>
          <w:szCs w:val="21"/>
          <w:highlight w:val="none"/>
        </w:rPr>
      </w:pPr>
      <w:r>
        <w:rPr>
          <w:rFonts w:hint="eastAsia" w:eastAsia="宋体"/>
          <w:color w:val="auto"/>
          <w:sz w:val="21"/>
          <w:szCs w:val="21"/>
          <w:highlight w:val="none"/>
        </w:rPr>
        <w:t>（2）不符合上表特征的项目，可由招标人自行选择采用“技术通过制的合理低价法”或“技术打分制的合理低价法”，资格审查条件（业绩最低要求）按下表标准设置：</w:t>
      </w:r>
    </w:p>
    <w:tbl>
      <w:tblPr>
        <w:tblStyle w:val="12"/>
        <w:tblW w:w="9288" w:type="dxa"/>
        <w:tblInd w:w="-10" w:type="dxa"/>
        <w:tblLayout w:type="autofit"/>
        <w:tblCellMar>
          <w:top w:w="0" w:type="dxa"/>
          <w:left w:w="108" w:type="dxa"/>
          <w:bottom w:w="0" w:type="dxa"/>
          <w:right w:w="108" w:type="dxa"/>
        </w:tblCellMar>
      </w:tblPr>
      <w:tblGrid>
        <w:gridCol w:w="1819"/>
        <w:gridCol w:w="1701"/>
        <w:gridCol w:w="993"/>
        <w:gridCol w:w="1275"/>
        <w:gridCol w:w="1017"/>
        <w:gridCol w:w="543"/>
        <w:gridCol w:w="1940"/>
      </w:tblGrid>
      <w:tr>
        <w:tblPrEx>
          <w:tblCellMar>
            <w:top w:w="0" w:type="dxa"/>
            <w:left w:w="108" w:type="dxa"/>
            <w:bottom w:w="0" w:type="dxa"/>
            <w:right w:w="108" w:type="dxa"/>
          </w:tblCellMar>
        </w:tblPrEx>
        <w:trPr>
          <w:trHeight w:val="454" w:hRule="atLeast"/>
        </w:trPr>
        <w:tc>
          <w:tcPr>
            <w:tcW w:w="9288" w:type="dxa"/>
            <w:gridSpan w:val="7"/>
            <w:tcBorders>
              <w:top w:val="single" w:color="auto" w:sz="8" w:space="0"/>
              <w:left w:val="single" w:color="auto" w:sz="8" w:space="0"/>
              <w:bottom w:val="single" w:color="auto" w:sz="4" w:space="0"/>
              <w:right w:val="single" w:color="000000" w:sz="8" w:space="0"/>
            </w:tcBorders>
            <w:noWrap/>
            <w:vAlign w:val="center"/>
          </w:tcPr>
          <w:p>
            <w:pPr>
              <w:widowControl/>
              <w:jc w:val="center"/>
              <w:rPr>
                <w:color w:val="auto"/>
                <w:kern w:val="0"/>
                <w:sz w:val="22"/>
                <w:szCs w:val="22"/>
                <w:highlight w:val="none"/>
              </w:rPr>
            </w:pPr>
            <w:r>
              <w:rPr>
                <w:color w:val="auto"/>
                <w:kern w:val="0"/>
                <w:sz w:val="22"/>
                <w:szCs w:val="22"/>
                <w:highlight w:val="none"/>
              </w:rPr>
              <w:t>桥  梁  工  程</w:t>
            </w:r>
          </w:p>
        </w:tc>
      </w:tr>
      <w:tr>
        <w:tblPrEx>
          <w:tblCellMar>
            <w:top w:w="0" w:type="dxa"/>
            <w:left w:w="108" w:type="dxa"/>
            <w:bottom w:w="0" w:type="dxa"/>
            <w:right w:w="108" w:type="dxa"/>
          </w:tblCellMar>
        </w:tblPrEx>
        <w:trPr>
          <w:trHeight w:val="454" w:hRule="atLeast"/>
        </w:trPr>
        <w:tc>
          <w:tcPr>
            <w:tcW w:w="1819" w:type="dxa"/>
            <w:vMerge w:val="restart"/>
            <w:tcBorders>
              <w:top w:val="nil"/>
              <w:left w:val="single" w:color="auto" w:sz="8" w:space="0"/>
              <w:bottom w:val="single" w:color="auto" w:sz="4" w:space="0"/>
              <w:right w:val="single" w:color="auto" w:sz="4" w:space="0"/>
            </w:tcBorders>
            <w:noWrap/>
            <w:vAlign w:val="center"/>
          </w:tcPr>
          <w:p>
            <w:pPr>
              <w:widowControl/>
              <w:jc w:val="center"/>
              <w:rPr>
                <w:color w:val="auto"/>
                <w:kern w:val="0"/>
                <w:sz w:val="22"/>
                <w:szCs w:val="22"/>
                <w:highlight w:val="none"/>
              </w:rPr>
            </w:pPr>
            <w:r>
              <w:rPr>
                <w:color w:val="auto"/>
                <w:kern w:val="0"/>
                <w:sz w:val="22"/>
                <w:szCs w:val="22"/>
                <w:highlight w:val="none"/>
              </w:rPr>
              <w:t>结构形式</w:t>
            </w:r>
          </w:p>
          <w:p>
            <w:pPr>
              <w:widowControl/>
              <w:jc w:val="center"/>
              <w:rPr>
                <w:color w:val="auto"/>
                <w:kern w:val="0"/>
                <w:sz w:val="22"/>
                <w:szCs w:val="22"/>
                <w:highlight w:val="none"/>
              </w:rPr>
            </w:pPr>
            <w:r>
              <w:rPr>
                <w:color w:val="auto"/>
                <w:kern w:val="0"/>
                <w:sz w:val="22"/>
                <w:szCs w:val="22"/>
                <w:highlight w:val="none"/>
              </w:rPr>
              <w:t>或范围</w:t>
            </w:r>
          </w:p>
        </w:tc>
        <w:tc>
          <w:tcPr>
            <w:tcW w:w="1701" w:type="dxa"/>
            <w:vMerge w:val="restart"/>
            <w:tcBorders>
              <w:top w:val="nil"/>
              <w:left w:val="single" w:color="auto" w:sz="4" w:space="0"/>
              <w:bottom w:val="single" w:color="auto" w:sz="4" w:space="0"/>
              <w:right w:val="single" w:color="auto" w:sz="4" w:space="0"/>
            </w:tcBorders>
            <w:noWrap/>
            <w:vAlign w:val="center"/>
          </w:tcPr>
          <w:p>
            <w:pPr>
              <w:widowControl/>
              <w:jc w:val="center"/>
              <w:rPr>
                <w:color w:val="auto"/>
                <w:kern w:val="0"/>
                <w:sz w:val="22"/>
                <w:szCs w:val="22"/>
                <w:highlight w:val="none"/>
              </w:rPr>
            </w:pPr>
            <w:r>
              <w:rPr>
                <w:rFonts w:hint="eastAsia"/>
                <w:color w:val="auto"/>
                <w:kern w:val="0"/>
                <w:sz w:val="22"/>
                <w:szCs w:val="22"/>
                <w:highlight w:val="none"/>
              </w:rPr>
              <w:t>招标标段桥梁</w:t>
            </w:r>
          </w:p>
          <w:p>
            <w:pPr>
              <w:widowControl/>
              <w:jc w:val="center"/>
              <w:rPr>
                <w:color w:val="auto"/>
                <w:kern w:val="0"/>
                <w:sz w:val="22"/>
                <w:szCs w:val="22"/>
                <w:highlight w:val="none"/>
              </w:rPr>
            </w:pPr>
            <w:r>
              <w:rPr>
                <w:color w:val="auto"/>
                <w:kern w:val="0"/>
                <w:sz w:val="22"/>
                <w:szCs w:val="22"/>
                <w:highlight w:val="none"/>
              </w:rPr>
              <w:t>单孔跨径L</w:t>
            </w:r>
          </w:p>
        </w:tc>
        <w:tc>
          <w:tcPr>
            <w:tcW w:w="993" w:type="dxa"/>
            <w:vMerge w:val="restart"/>
            <w:tcBorders>
              <w:top w:val="nil"/>
              <w:left w:val="single" w:color="auto" w:sz="4" w:space="0"/>
              <w:bottom w:val="single" w:color="auto" w:sz="4" w:space="0"/>
              <w:right w:val="single" w:color="auto" w:sz="4" w:space="0"/>
            </w:tcBorders>
            <w:vAlign w:val="center"/>
          </w:tcPr>
          <w:p>
            <w:pPr>
              <w:widowControl/>
              <w:jc w:val="center"/>
              <w:rPr>
                <w:color w:val="auto"/>
                <w:kern w:val="0"/>
                <w:sz w:val="22"/>
                <w:szCs w:val="22"/>
                <w:highlight w:val="none"/>
              </w:rPr>
            </w:pPr>
            <w:r>
              <w:rPr>
                <w:color w:val="auto"/>
                <w:kern w:val="0"/>
                <w:sz w:val="22"/>
                <w:szCs w:val="22"/>
                <w:highlight w:val="none"/>
              </w:rPr>
              <w:t>单座桥梁总长</w:t>
            </w:r>
          </w:p>
        </w:tc>
        <w:tc>
          <w:tcPr>
            <w:tcW w:w="2835" w:type="dxa"/>
            <w:gridSpan w:val="3"/>
            <w:tcBorders>
              <w:top w:val="single" w:color="auto" w:sz="4" w:space="0"/>
              <w:left w:val="nil"/>
              <w:bottom w:val="single" w:color="auto" w:sz="4" w:space="0"/>
              <w:right w:val="single" w:color="auto" w:sz="4" w:space="0"/>
            </w:tcBorders>
            <w:noWrap/>
            <w:vAlign w:val="center"/>
          </w:tcPr>
          <w:p>
            <w:pPr>
              <w:widowControl/>
              <w:jc w:val="center"/>
              <w:rPr>
                <w:color w:val="auto"/>
                <w:kern w:val="0"/>
                <w:sz w:val="22"/>
                <w:szCs w:val="22"/>
                <w:highlight w:val="none"/>
              </w:rPr>
            </w:pPr>
            <w:bookmarkStart w:id="7" w:name="_Hlk92737966"/>
            <w:r>
              <w:rPr>
                <w:color w:val="auto"/>
                <w:kern w:val="0"/>
                <w:sz w:val="22"/>
                <w:szCs w:val="22"/>
                <w:highlight w:val="none"/>
              </w:rPr>
              <w:t>“资格审查条件（业绩最低要求）”设置标准</w:t>
            </w:r>
            <w:bookmarkEnd w:id="7"/>
          </w:p>
        </w:tc>
        <w:tc>
          <w:tcPr>
            <w:tcW w:w="1940" w:type="dxa"/>
            <w:vMerge w:val="restart"/>
            <w:tcBorders>
              <w:top w:val="nil"/>
              <w:left w:val="nil"/>
              <w:right w:val="single" w:color="auto" w:sz="8" w:space="0"/>
            </w:tcBorders>
            <w:noWrap/>
            <w:vAlign w:val="center"/>
          </w:tcPr>
          <w:p>
            <w:pPr>
              <w:widowControl/>
              <w:jc w:val="center"/>
              <w:rPr>
                <w:color w:val="auto"/>
                <w:kern w:val="0"/>
                <w:sz w:val="22"/>
                <w:szCs w:val="22"/>
                <w:highlight w:val="none"/>
              </w:rPr>
            </w:pPr>
            <w:r>
              <w:rPr>
                <w:color w:val="auto"/>
                <w:kern w:val="0"/>
                <w:sz w:val="22"/>
                <w:szCs w:val="22"/>
                <w:highlight w:val="none"/>
              </w:rPr>
              <w:t>其  他</w:t>
            </w:r>
          </w:p>
        </w:tc>
      </w:tr>
      <w:tr>
        <w:tblPrEx>
          <w:tblCellMar>
            <w:top w:w="0" w:type="dxa"/>
            <w:left w:w="108" w:type="dxa"/>
            <w:bottom w:w="0" w:type="dxa"/>
            <w:right w:w="108" w:type="dxa"/>
          </w:tblCellMar>
        </w:tblPrEx>
        <w:trPr>
          <w:trHeight w:val="454" w:hRule="atLeast"/>
        </w:trPr>
        <w:tc>
          <w:tcPr>
            <w:tcW w:w="1819" w:type="dxa"/>
            <w:vMerge w:val="continue"/>
            <w:tcBorders>
              <w:top w:val="nil"/>
              <w:left w:val="single" w:color="auto" w:sz="8" w:space="0"/>
              <w:bottom w:val="single" w:color="auto" w:sz="4" w:space="0"/>
              <w:right w:val="single" w:color="auto" w:sz="4" w:space="0"/>
            </w:tcBorders>
            <w:vAlign w:val="center"/>
          </w:tcPr>
          <w:p>
            <w:pPr>
              <w:widowControl/>
              <w:jc w:val="left"/>
              <w:rPr>
                <w:color w:val="auto"/>
                <w:kern w:val="0"/>
                <w:sz w:val="22"/>
                <w:szCs w:val="22"/>
                <w:highlight w:val="none"/>
              </w:rPr>
            </w:pPr>
          </w:p>
        </w:tc>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color w:val="auto"/>
                <w:kern w:val="0"/>
                <w:sz w:val="22"/>
                <w:szCs w:val="22"/>
                <w:highlight w:val="none"/>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color w:val="auto"/>
                <w:kern w:val="0"/>
                <w:sz w:val="22"/>
                <w:szCs w:val="22"/>
                <w:highlight w:val="none"/>
              </w:rPr>
            </w:pPr>
          </w:p>
        </w:tc>
        <w:tc>
          <w:tcPr>
            <w:tcW w:w="1275" w:type="dxa"/>
            <w:tcBorders>
              <w:top w:val="nil"/>
              <w:left w:val="nil"/>
              <w:bottom w:val="single" w:color="auto" w:sz="4" w:space="0"/>
              <w:right w:val="single" w:color="auto" w:sz="4" w:space="0"/>
            </w:tcBorders>
            <w:noWrap/>
            <w:vAlign w:val="center"/>
          </w:tcPr>
          <w:p>
            <w:pPr>
              <w:widowControl/>
              <w:jc w:val="center"/>
              <w:rPr>
                <w:color w:val="auto"/>
                <w:kern w:val="0"/>
                <w:sz w:val="22"/>
                <w:szCs w:val="22"/>
                <w:highlight w:val="none"/>
              </w:rPr>
            </w:pPr>
            <w:r>
              <w:rPr>
                <w:color w:val="auto"/>
                <w:kern w:val="0"/>
                <w:sz w:val="22"/>
                <w:szCs w:val="22"/>
                <w:highlight w:val="none"/>
              </w:rPr>
              <w:t>单孔跨径</w:t>
            </w:r>
          </w:p>
        </w:tc>
        <w:tc>
          <w:tcPr>
            <w:tcW w:w="1560" w:type="dxa"/>
            <w:gridSpan w:val="2"/>
            <w:tcBorders>
              <w:top w:val="nil"/>
              <w:left w:val="nil"/>
              <w:bottom w:val="single" w:color="auto" w:sz="4" w:space="0"/>
              <w:right w:val="single" w:color="auto" w:sz="4" w:space="0"/>
            </w:tcBorders>
            <w:noWrap/>
            <w:vAlign w:val="center"/>
          </w:tcPr>
          <w:p>
            <w:pPr>
              <w:widowControl/>
              <w:jc w:val="center"/>
              <w:rPr>
                <w:color w:val="auto"/>
                <w:kern w:val="0"/>
                <w:sz w:val="22"/>
                <w:szCs w:val="22"/>
                <w:highlight w:val="none"/>
              </w:rPr>
            </w:pPr>
            <w:r>
              <w:rPr>
                <w:color w:val="auto"/>
                <w:kern w:val="0"/>
                <w:sz w:val="22"/>
                <w:szCs w:val="22"/>
                <w:highlight w:val="none"/>
              </w:rPr>
              <w:t>桥梁长度</w:t>
            </w:r>
          </w:p>
        </w:tc>
        <w:tc>
          <w:tcPr>
            <w:tcW w:w="1940" w:type="dxa"/>
            <w:vMerge w:val="continue"/>
            <w:tcBorders>
              <w:left w:val="nil"/>
              <w:bottom w:val="single" w:color="auto" w:sz="4" w:space="0"/>
              <w:right w:val="single" w:color="auto" w:sz="8" w:space="0"/>
            </w:tcBorders>
            <w:noWrap/>
            <w:vAlign w:val="center"/>
          </w:tcPr>
          <w:p>
            <w:pPr>
              <w:widowControl/>
              <w:jc w:val="left"/>
              <w:rPr>
                <w:color w:val="auto"/>
                <w:kern w:val="0"/>
                <w:sz w:val="22"/>
                <w:szCs w:val="22"/>
                <w:highlight w:val="none"/>
              </w:rPr>
            </w:pPr>
          </w:p>
        </w:tc>
      </w:tr>
      <w:tr>
        <w:tblPrEx>
          <w:tblCellMar>
            <w:top w:w="0" w:type="dxa"/>
            <w:left w:w="108" w:type="dxa"/>
            <w:bottom w:w="0" w:type="dxa"/>
            <w:right w:w="108" w:type="dxa"/>
          </w:tblCellMar>
        </w:tblPrEx>
        <w:trPr>
          <w:trHeight w:val="454" w:hRule="atLeast"/>
        </w:trPr>
        <w:tc>
          <w:tcPr>
            <w:tcW w:w="1819" w:type="dxa"/>
            <w:tcBorders>
              <w:top w:val="nil"/>
              <w:left w:val="single" w:color="auto" w:sz="8" w:space="0"/>
              <w:bottom w:val="single" w:color="auto" w:sz="4" w:space="0"/>
              <w:right w:val="single" w:color="auto" w:sz="4" w:space="0"/>
            </w:tcBorders>
            <w:noWrap/>
            <w:vAlign w:val="center"/>
          </w:tcPr>
          <w:p>
            <w:pPr>
              <w:widowControl/>
              <w:jc w:val="center"/>
              <w:rPr>
                <w:color w:val="auto"/>
                <w:kern w:val="0"/>
                <w:sz w:val="22"/>
                <w:szCs w:val="22"/>
                <w:highlight w:val="none"/>
              </w:rPr>
            </w:pPr>
            <w:r>
              <w:rPr>
                <w:color w:val="auto"/>
                <w:kern w:val="0"/>
                <w:sz w:val="22"/>
                <w:szCs w:val="22"/>
                <w:highlight w:val="none"/>
              </w:rPr>
              <w:t>钢桁架、钢管砼拱桥</w:t>
            </w:r>
          </w:p>
        </w:tc>
        <w:tc>
          <w:tcPr>
            <w:tcW w:w="1701" w:type="dxa"/>
            <w:tcBorders>
              <w:top w:val="nil"/>
              <w:left w:val="nil"/>
              <w:bottom w:val="single" w:color="auto" w:sz="4" w:space="0"/>
              <w:right w:val="single" w:color="auto" w:sz="4" w:space="0"/>
            </w:tcBorders>
            <w:noWrap/>
            <w:vAlign w:val="center"/>
          </w:tcPr>
          <w:p>
            <w:pPr>
              <w:widowControl/>
              <w:jc w:val="center"/>
              <w:rPr>
                <w:color w:val="auto"/>
                <w:kern w:val="0"/>
                <w:sz w:val="22"/>
                <w:szCs w:val="22"/>
                <w:highlight w:val="none"/>
              </w:rPr>
            </w:pPr>
            <w:r>
              <w:rPr>
                <w:color w:val="auto"/>
                <w:kern w:val="0"/>
                <w:sz w:val="22"/>
                <w:szCs w:val="22"/>
                <w:highlight w:val="none"/>
              </w:rPr>
              <w:t>100m＞L≥60m</w:t>
            </w:r>
          </w:p>
        </w:tc>
        <w:tc>
          <w:tcPr>
            <w:tcW w:w="993" w:type="dxa"/>
            <w:tcBorders>
              <w:top w:val="nil"/>
              <w:left w:val="nil"/>
              <w:bottom w:val="single" w:color="auto" w:sz="4" w:space="0"/>
              <w:right w:val="single" w:color="auto" w:sz="4" w:space="0"/>
            </w:tcBorders>
            <w:vAlign w:val="center"/>
          </w:tcPr>
          <w:p>
            <w:pPr>
              <w:widowControl/>
              <w:jc w:val="center"/>
              <w:rPr>
                <w:color w:val="auto"/>
                <w:kern w:val="0"/>
                <w:sz w:val="22"/>
                <w:szCs w:val="22"/>
                <w:highlight w:val="none"/>
              </w:rPr>
            </w:pPr>
            <w:r>
              <w:rPr>
                <w:color w:val="auto"/>
                <w:kern w:val="0"/>
                <w:sz w:val="22"/>
                <w:szCs w:val="22"/>
                <w:highlight w:val="none"/>
              </w:rPr>
              <w:t>/</w:t>
            </w:r>
          </w:p>
        </w:tc>
        <w:tc>
          <w:tcPr>
            <w:tcW w:w="1275" w:type="dxa"/>
            <w:tcBorders>
              <w:top w:val="nil"/>
              <w:left w:val="nil"/>
              <w:bottom w:val="single" w:color="auto" w:sz="4" w:space="0"/>
              <w:right w:val="single" w:color="auto" w:sz="4" w:space="0"/>
            </w:tcBorders>
            <w:noWrap/>
            <w:vAlign w:val="center"/>
          </w:tcPr>
          <w:p>
            <w:pPr>
              <w:widowControl/>
              <w:jc w:val="center"/>
              <w:rPr>
                <w:color w:val="auto"/>
                <w:kern w:val="0"/>
                <w:sz w:val="22"/>
                <w:szCs w:val="22"/>
                <w:highlight w:val="none"/>
              </w:rPr>
            </w:pPr>
            <w:r>
              <w:rPr>
                <w:color w:val="auto"/>
                <w:kern w:val="0"/>
                <w:sz w:val="22"/>
                <w:szCs w:val="22"/>
                <w:highlight w:val="none"/>
              </w:rPr>
              <w:t>40m</w:t>
            </w:r>
          </w:p>
        </w:tc>
        <w:tc>
          <w:tcPr>
            <w:tcW w:w="1560" w:type="dxa"/>
            <w:gridSpan w:val="2"/>
            <w:vMerge w:val="restart"/>
            <w:tcBorders>
              <w:top w:val="nil"/>
              <w:left w:val="single" w:color="auto" w:sz="4" w:space="0"/>
              <w:right w:val="single" w:color="auto" w:sz="4" w:space="0"/>
            </w:tcBorders>
            <w:vAlign w:val="center"/>
          </w:tcPr>
          <w:p>
            <w:pPr>
              <w:jc w:val="center"/>
              <w:rPr>
                <w:color w:val="auto"/>
                <w:kern w:val="0"/>
                <w:sz w:val="22"/>
                <w:szCs w:val="22"/>
                <w:highlight w:val="none"/>
              </w:rPr>
            </w:pPr>
            <w:r>
              <w:rPr>
                <w:color w:val="auto"/>
                <w:kern w:val="0"/>
                <w:sz w:val="22"/>
                <w:szCs w:val="22"/>
                <w:highlight w:val="none"/>
              </w:rPr>
              <w:t>原则上不作要求。</w:t>
            </w:r>
          </w:p>
        </w:tc>
        <w:tc>
          <w:tcPr>
            <w:tcW w:w="1940" w:type="dxa"/>
            <w:vMerge w:val="restart"/>
            <w:tcBorders>
              <w:top w:val="nil"/>
              <w:left w:val="single" w:color="auto" w:sz="4" w:space="0"/>
              <w:right w:val="single" w:color="auto" w:sz="8" w:space="0"/>
            </w:tcBorders>
            <w:vAlign w:val="center"/>
          </w:tcPr>
          <w:p>
            <w:pPr>
              <w:jc w:val="left"/>
              <w:rPr>
                <w:color w:val="auto"/>
                <w:kern w:val="0"/>
                <w:sz w:val="22"/>
                <w:szCs w:val="22"/>
                <w:highlight w:val="none"/>
              </w:rPr>
            </w:pPr>
            <w:r>
              <w:rPr>
                <w:color w:val="auto"/>
                <w:kern w:val="0"/>
                <w:sz w:val="22"/>
                <w:szCs w:val="22"/>
                <w:highlight w:val="none"/>
              </w:rPr>
              <w:t>小于前述跨径的桥梁原则上要求完成过类似结构形式的桥梁工程（对跨径和长度均不做要求）。</w:t>
            </w:r>
          </w:p>
        </w:tc>
      </w:tr>
      <w:tr>
        <w:tblPrEx>
          <w:tblCellMar>
            <w:top w:w="0" w:type="dxa"/>
            <w:left w:w="108" w:type="dxa"/>
            <w:bottom w:w="0" w:type="dxa"/>
            <w:right w:w="108" w:type="dxa"/>
          </w:tblCellMar>
        </w:tblPrEx>
        <w:trPr>
          <w:trHeight w:val="454" w:hRule="atLeast"/>
        </w:trPr>
        <w:tc>
          <w:tcPr>
            <w:tcW w:w="1819" w:type="dxa"/>
            <w:tcBorders>
              <w:top w:val="nil"/>
              <w:left w:val="single" w:color="auto" w:sz="8" w:space="0"/>
              <w:bottom w:val="single" w:color="auto" w:sz="4" w:space="0"/>
              <w:right w:val="single" w:color="auto" w:sz="4" w:space="0"/>
            </w:tcBorders>
            <w:noWrap/>
            <w:vAlign w:val="center"/>
          </w:tcPr>
          <w:p>
            <w:pPr>
              <w:widowControl/>
              <w:jc w:val="center"/>
              <w:rPr>
                <w:color w:val="auto"/>
                <w:kern w:val="0"/>
                <w:sz w:val="22"/>
                <w:szCs w:val="22"/>
                <w:highlight w:val="none"/>
              </w:rPr>
            </w:pPr>
            <w:r>
              <w:rPr>
                <w:color w:val="auto"/>
                <w:kern w:val="0"/>
                <w:sz w:val="22"/>
                <w:szCs w:val="22"/>
                <w:highlight w:val="none"/>
              </w:rPr>
              <w:t xml:space="preserve"> 钢筋砼拱桥</w:t>
            </w:r>
          </w:p>
        </w:tc>
        <w:tc>
          <w:tcPr>
            <w:tcW w:w="1701" w:type="dxa"/>
            <w:tcBorders>
              <w:top w:val="nil"/>
              <w:left w:val="nil"/>
              <w:bottom w:val="single" w:color="auto" w:sz="4" w:space="0"/>
              <w:right w:val="single" w:color="auto" w:sz="4" w:space="0"/>
            </w:tcBorders>
            <w:noWrap/>
            <w:vAlign w:val="center"/>
          </w:tcPr>
          <w:p>
            <w:pPr>
              <w:widowControl/>
              <w:jc w:val="center"/>
              <w:rPr>
                <w:color w:val="auto"/>
                <w:kern w:val="0"/>
                <w:sz w:val="22"/>
                <w:szCs w:val="22"/>
                <w:highlight w:val="none"/>
              </w:rPr>
            </w:pPr>
            <w:r>
              <w:rPr>
                <w:color w:val="auto"/>
                <w:kern w:val="0"/>
                <w:sz w:val="22"/>
                <w:szCs w:val="22"/>
                <w:highlight w:val="none"/>
              </w:rPr>
              <w:t>150m＞L≥100m</w:t>
            </w:r>
          </w:p>
        </w:tc>
        <w:tc>
          <w:tcPr>
            <w:tcW w:w="993" w:type="dxa"/>
            <w:tcBorders>
              <w:top w:val="nil"/>
              <w:left w:val="nil"/>
              <w:bottom w:val="single" w:color="auto" w:sz="4" w:space="0"/>
              <w:right w:val="single" w:color="auto" w:sz="4" w:space="0"/>
            </w:tcBorders>
            <w:vAlign w:val="center"/>
          </w:tcPr>
          <w:p>
            <w:pPr>
              <w:widowControl/>
              <w:jc w:val="center"/>
              <w:rPr>
                <w:color w:val="auto"/>
                <w:kern w:val="0"/>
                <w:sz w:val="22"/>
                <w:szCs w:val="22"/>
                <w:highlight w:val="none"/>
              </w:rPr>
            </w:pPr>
            <w:r>
              <w:rPr>
                <w:color w:val="auto"/>
                <w:kern w:val="0"/>
                <w:sz w:val="22"/>
                <w:szCs w:val="22"/>
                <w:highlight w:val="none"/>
              </w:rPr>
              <w:t>/</w:t>
            </w:r>
          </w:p>
        </w:tc>
        <w:tc>
          <w:tcPr>
            <w:tcW w:w="1275" w:type="dxa"/>
            <w:tcBorders>
              <w:top w:val="nil"/>
              <w:left w:val="nil"/>
              <w:bottom w:val="single" w:color="auto" w:sz="4" w:space="0"/>
              <w:right w:val="single" w:color="auto" w:sz="4" w:space="0"/>
            </w:tcBorders>
            <w:noWrap/>
            <w:vAlign w:val="center"/>
          </w:tcPr>
          <w:p>
            <w:pPr>
              <w:widowControl/>
              <w:jc w:val="center"/>
              <w:rPr>
                <w:color w:val="auto"/>
                <w:kern w:val="0"/>
                <w:sz w:val="22"/>
                <w:szCs w:val="22"/>
                <w:highlight w:val="none"/>
              </w:rPr>
            </w:pPr>
            <w:r>
              <w:rPr>
                <w:color w:val="auto"/>
                <w:kern w:val="0"/>
                <w:sz w:val="22"/>
                <w:szCs w:val="22"/>
                <w:highlight w:val="none"/>
              </w:rPr>
              <w:t>60m</w:t>
            </w:r>
          </w:p>
        </w:tc>
        <w:tc>
          <w:tcPr>
            <w:tcW w:w="1560" w:type="dxa"/>
            <w:gridSpan w:val="2"/>
            <w:vMerge w:val="continue"/>
            <w:tcBorders>
              <w:left w:val="single" w:color="auto" w:sz="4" w:space="0"/>
              <w:right w:val="single" w:color="auto" w:sz="4" w:space="0"/>
            </w:tcBorders>
            <w:vAlign w:val="center"/>
          </w:tcPr>
          <w:p>
            <w:pPr>
              <w:widowControl/>
              <w:jc w:val="center"/>
              <w:rPr>
                <w:color w:val="auto"/>
                <w:kern w:val="0"/>
                <w:sz w:val="22"/>
                <w:szCs w:val="22"/>
                <w:highlight w:val="none"/>
              </w:rPr>
            </w:pPr>
          </w:p>
        </w:tc>
        <w:tc>
          <w:tcPr>
            <w:tcW w:w="1940" w:type="dxa"/>
            <w:vMerge w:val="continue"/>
            <w:tcBorders>
              <w:left w:val="single" w:color="auto" w:sz="4" w:space="0"/>
              <w:right w:val="single" w:color="auto" w:sz="8" w:space="0"/>
            </w:tcBorders>
            <w:vAlign w:val="center"/>
          </w:tcPr>
          <w:p>
            <w:pPr>
              <w:widowControl/>
              <w:jc w:val="left"/>
              <w:rPr>
                <w:color w:val="auto"/>
                <w:kern w:val="0"/>
                <w:sz w:val="22"/>
                <w:szCs w:val="22"/>
                <w:highlight w:val="none"/>
              </w:rPr>
            </w:pPr>
          </w:p>
        </w:tc>
      </w:tr>
      <w:tr>
        <w:tblPrEx>
          <w:tblCellMar>
            <w:top w:w="0" w:type="dxa"/>
            <w:left w:w="108" w:type="dxa"/>
            <w:bottom w:w="0" w:type="dxa"/>
            <w:right w:w="108" w:type="dxa"/>
          </w:tblCellMar>
        </w:tblPrEx>
        <w:trPr>
          <w:trHeight w:val="454" w:hRule="atLeast"/>
        </w:trPr>
        <w:tc>
          <w:tcPr>
            <w:tcW w:w="1819" w:type="dxa"/>
            <w:tcBorders>
              <w:top w:val="single" w:color="auto" w:sz="4" w:space="0"/>
              <w:left w:val="single" w:color="auto" w:sz="8" w:space="0"/>
              <w:bottom w:val="single" w:color="auto" w:sz="4" w:space="0"/>
              <w:right w:val="single" w:color="auto" w:sz="4" w:space="0"/>
            </w:tcBorders>
            <w:noWrap/>
            <w:vAlign w:val="center"/>
          </w:tcPr>
          <w:p>
            <w:pPr>
              <w:widowControl/>
              <w:jc w:val="center"/>
              <w:rPr>
                <w:color w:val="auto"/>
                <w:kern w:val="0"/>
                <w:sz w:val="22"/>
                <w:szCs w:val="22"/>
                <w:highlight w:val="none"/>
              </w:rPr>
            </w:pPr>
            <w:r>
              <w:rPr>
                <w:color w:val="auto"/>
                <w:kern w:val="0"/>
                <w:sz w:val="22"/>
                <w:szCs w:val="22"/>
                <w:highlight w:val="none"/>
              </w:rPr>
              <w:t xml:space="preserve"> 钢箱拱桥</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color w:val="auto"/>
                <w:kern w:val="0"/>
                <w:sz w:val="22"/>
                <w:szCs w:val="22"/>
                <w:highlight w:val="none"/>
              </w:rPr>
            </w:pPr>
            <w:r>
              <w:rPr>
                <w:color w:val="auto"/>
                <w:kern w:val="0"/>
                <w:sz w:val="22"/>
                <w:szCs w:val="22"/>
                <w:highlight w:val="none"/>
              </w:rPr>
              <w:t>350m＞L≥150m</w:t>
            </w:r>
          </w:p>
        </w:tc>
        <w:tc>
          <w:tcPr>
            <w:tcW w:w="993" w:type="dxa"/>
            <w:tcBorders>
              <w:top w:val="single" w:color="auto" w:sz="4" w:space="0"/>
              <w:left w:val="nil"/>
              <w:bottom w:val="single" w:color="auto" w:sz="4" w:space="0"/>
              <w:right w:val="single" w:color="auto" w:sz="4" w:space="0"/>
            </w:tcBorders>
            <w:vAlign w:val="center"/>
          </w:tcPr>
          <w:p>
            <w:pPr>
              <w:widowControl/>
              <w:jc w:val="center"/>
              <w:rPr>
                <w:color w:val="auto"/>
                <w:kern w:val="0"/>
                <w:sz w:val="22"/>
                <w:szCs w:val="22"/>
                <w:highlight w:val="none"/>
              </w:rPr>
            </w:pPr>
            <w:r>
              <w:rPr>
                <w:color w:val="auto"/>
                <w:kern w:val="0"/>
                <w:sz w:val="22"/>
                <w:szCs w:val="22"/>
                <w:highlight w:val="none"/>
              </w:rPr>
              <w:t>/</w:t>
            </w:r>
          </w:p>
        </w:tc>
        <w:tc>
          <w:tcPr>
            <w:tcW w:w="1275" w:type="dxa"/>
            <w:tcBorders>
              <w:top w:val="single" w:color="auto" w:sz="4" w:space="0"/>
              <w:left w:val="nil"/>
              <w:bottom w:val="single" w:color="auto" w:sz="4" w:space="0"/>
              <w:right w:val="single" w:color="auto" w:sz="4" w:space="0"/>
            </w:tcBorders>
            <w:noWrap/>
            <w:vAlign w:val="center"/>
          </w:tcPr>
          <w:p>
            <w:pPr>
              <w:widowControl/>
              <w:jc w:val="center"/>
              <w:rPr>
                <w:color w:val="auto"/>
                <w:kern w:val="0"/>
                <w:sz w:val="22"/>
                <w:szCs w:val="22"/>
                <w:highlight w:val="none"/>
              </w:rPr>
            </w:pPr>
            <w:r>
              <w:rPr>
                <w:color w:val="auto"/>
                <w:kern w:val="0"/>
                <w:sz w:val="22"/>
                <w:szCs w:val="22"/>
                <w:highlight w:val="none"/>
              </w:rPr>
              <w:t>120m</w:t>
            </w:r>
          </w:p>
        </w:tc>
        <w:tc>
          <w:tcPr>
            <w:tcW w:w="1560" w:type="dxa"/>
            <w:gridSpan w:val="2"/>
            <w:vMerge w:val="continue"/>
            <w:tcBorders>
              <w:left w:val="single" w:color="auto" w:sz="4" w:space="0"/>
              <w:right w:val="single" w:color="auto" w:sz="4" w:space="0"/>
            </w:tcBorders>
            <w:vAlign w:val="center"/>
          </w:tcPr>
          <w:p>
            <w:pPr>
              <w:widowControl/>
              <w:jc w:val="left"/>
              <w:rPr>
                <w:color w:val="auto"/>
                <w:kern w:val="0"/>
                <w:sz w:val="22"/>
                <w:szCs w:val="22"/>
                <w:highlight w:val="none"/>
              </w:rPr>
            </w:pPr>
          </w:p>
        </w:tc>
        <w:tc>
          <w:tcPr>
            <w:tcW w:w="1940" w:type="dxa"/>
            <w:vMerge w:val="continue"/>
            <w:tcBorders>
              <w:left w:val="single" w:color="auto" w:sz="4" w:space="0"/>
              <w:right w:val="single" w:color="auto" w:sz="8" w:space="0"/>
            </w:tcBorders>
            <w:vAlign w:val="center"/>
          </w:tcPr>
          <w:p>
            <w:pPr>
              <w:widowControl/>
              <w:jc w:val="left"/>
              <w:rPr>
                <w:color w:val="auto"/>
                <w:kern w:val="0"/>
                <w:sz w:val="22"/>
                <w:szCs w:val="22"/>
                <w:highlight w:val="none"/>
              </w:rPr>
            </w:pPr>
          </w:p>
        </w:tc>
      </w:tr>
      <w:tr>
        <w:tblPrEx>
          <w:tblCellMar>
            <w:top w:w="0" w:type="dxa"/>
            <w:left w:w="108" w:type="dxa"/>
            <w:bottom w:w="0" w:type="dxa"/>
            <w:right w:w="108" w:type="dxa"/>
          </w:tblCellMar>
        </w:tblPrEx>
        <w:trPr>
          <w:trHeight w:val="454" w:hRule="atLeast"/>
        </w:trPr>
        <w:tc>
          <w:tcPr>
            <w:tcW w:w="1819" w:type="dxa"/>
            <w:tcBorders>
              <w:top w:val="nil"/>
              <w:left w:val="single" w:color="auto" w:sz="8" w:space="0"/>
              <w:bottom w:val="single" w:color="auto" w:sz="4" w:space="0"/>
              <w:right w:val="single" w:color="auto" w:sz="4" w:space="0"/>
            </w:tcBorders>
            <w:noWrap/>
            <w:vAlign w:val="center"/>
          </w:tcPr>
          <w:p>
            <w:pPr>
              <w:widowControl/>
              <w:jc w:val="center"/>
              <w:rPr>
                <w:color w:val="auto"/>
                <w:kern w:val="0"/>
                <w:sz w:val="22"/>
                <w:szCs w:val="22"/>
                <w:highlight w:val="none"/>
              </w:rPr>
            </w:pPr>
            <w:r>
              <w:rPr>
                <w:color w:val="auto"/>
                <w:kern w:val="0"/>
                <w:sz w:val="22"/>
                <w:szCs w:val="22"/>
                <w:highlight w:val="none"/>
              </w:rPr>
              <w:t>梁式桥</w:t>
            </w:r>
          </w:p>
        </w:tc>
        <w:tc>
          <w:tcPr>
            <w:tcW w:w="1701" w:type="dxa"/>
            <w:tcBorders>
              <w:top w:val="nil"/>
              <w:left w:val="nil"/>
              <w:bottom w:val="single" w:color="auto" w:sz="4" w:space="0"/>
              <w:right w:val="single" w:color="auto" w:sz="4" w:space="0"/>
            </w:tcBorders>
            <w:noWrap/>
            <w:vAlign w:val="center"/>
          </w:tcPr>
          <w:p>
            <w:pPr>
              <w:widowControl/>
              <w:jc w:val="center"/>
              <w:rPr>
                <w:color w:val="auto"/>
                <w:kern w:val="0"/>
                <w:sz w:val="22"/>
                <w:szCs w:val="22"/>
                <w:highlight w:val="none"/>
              </w:rPr>
            </w:pPr>
            <w:r>
              <w:rPr>
                <w:color w:val="auto"/>
                <w:kern w:val="0"/>
                <w:sz w:val="22"/>
                <w:szCs w:val="22"/>
                <w:highlight w:val="none"/>
              </w:rPr>
              <w:t>140m＞L≥80m</w:t>
            </w:r>
          </w:p>
        </w:tc>
        <w:tc>
          <w:tcPr>
            <w:tcW w:w="993" w:type="dxa"/>
            <w:tcBorders>
              <w:top w:val="nil"/>
              <w:left w:val="nil"/>
              <w:bottom w:val="single" w:color="auto" w:sz="4" w:space="0"/>
              <w:right w:val="single" w:color="auto" w:sz="4" w:space="0"/>
            </w:tcBorders>
            <w:vAlign w:val="center"/>
          </w:tcPr>
          <w:p>
            <w:pPr>
              <w:widowControl/>
              <w:jc w:val="center"/>
              <w:rPr>
                <w:color w:val="auto"/>
                <w:kern w:val="0"/>
                <w:sz w:val="22"/>
                <w:szCs w:val="22"/>
                <w:highlight w:val="none"/>
              </w:rPr>
            </w:pPr>
            <w:r>
              <w:rPr>
                <w:color w:val="auto"/>
                <w:kern w:val="0"/>
                <w:sz w:val="22"/>
                <w:szCs w:val="22"/>
                <w:highlight w:val="none"/>
              </w:rPr>
              <w:t>/</w:t>
            </w:r>
          </w:p>
        </w:tc>
        <w:tc>
          <w:tcPr>
            <w:tcW w:w="1275" w:type="dxa"/>
            <w:tcBorders>
              <w:top w:val="nil"/>
              <w:left w:val="nil"/>
              <w:bottom w:val="single" w:color="auto" w:sz="4" w:space="0"/>
              <w:right w:val="single" w:color="auto" w:sz="4" w:space="0"/>
            </w:tcBorders>
            <w:noWrap/>
            <w:vAlign w:val="center"/>
          </w:tcPr>
          <w:p>
            <w:pPr>
              <w:widowControl/>
              <w:jc w:val="center"/>
              <w:rPr>
                <w:color w:val="auto"/>
                <w:kern w:val="0"/>
                <w:sz w:val="22"/>
                <w:szCs w:val="22"/>
                <w:highlight w:val="none"/>
              </w:rPr>
            </w:pPr>
            <w:r>
              <w:rPr>
                <w:color w:val="auto"/>
                <w:kern w:val="0"/>
                <w:sz w:val="22"/>
                <w:szCs w:val="22"/>
                <w:highlight w:val="none"/>
              </w:rPr>
              <w:t>60m</w:t>
            </w:r>
          </w:p>
        </w:tc>
        <w:tc>
          <w:tcPr>
            <w:tcW w:w="1560" w:type="dxa"/>
            <w:gridSpan w:val="2"/>
            <w:vMerge w:val="continue"/>
            <w:tcBorders>
              <w:left w:val="single" w:color="auto" w:sz="4" w:space="0"/>
              <w:right w:val="single" w:color="auto" w:sz="4" w:space="0"/>
            </w:tcBorders>
            <w:vAlign w:val="center"/>
          </w:tcPr>
          <w:p>
            <w:pPr>
              <w:widowControl/>
              <w:jc w:val="left"/>
              <w:rPr>
                <w:color w:val="auto"/>
                <w:kern w:val="0"/>
                <w:sz w:val="22"/>
                <w:szCs w:val="22"/>
                <w:highlight w:val="none"/>
              </w:rPr>
            </w:pPr>
          </w:p>
        </w:tc>
        <w:tc>
          <w:tcPr>
            <w:tcW w:w="1940" w:type="dxa"/>
            <w:vMerge w:val="continue"/>
            <w:tcBorders>
              <w:left w:val="single" w:color="auto" w:sz="4" w:space="0"/>
              <w:right w:val="single" w:color="auto" w:sz="8" w:space="0"/>
            </w:tcBorders>
            <w:vAlign w:val="center"/>
          </w:tcPr>
          <w:p>
            <w:pPr>
              <w:widowControl/>
              <w:jc w:val="left"/>
              <w:rPr>
                <w:color w:val="auto"/>
                <w:kern w:val="0"/>
                <w:sz w:val="22"/>
                <w:szCs w:val="22"/>
                <w:highlight w:val="none"/>
              </w:rPr>
            </w:pPr>
          </w:p>
        </w:tc>
      </w:tr>
      <w:tr>
        <w:tblPrEx>
          <w:tblCellMar>
            <w:top w:w="0" w:type="dxa"/>
            <w:left w:w="108" w:type="dxa"/>
            <w:bottom w:w="0" w:type="dxa"/>
            <w:right w:w="108" w:type="dxa"/>
          </w:tblCellMar>
        </w:tblPrEx>
        <w:trPr>
          <w:trHeight w:val="454" w:hRule="atLeast"/>
        </w:trPr>
        <w:tc>
          <w:tcPr>
            <w:tcW w:w="1819" w:type="dxa"/>
            <w:tcBorders>
              <w:top w:val="nil"/>
              <w:left w:val="single" w:color="auto" w:sz="8" w:space="0"/>
              <w:bottom w:val="single" w:color="auto" w:sz="4" w:space="0"/>
              <w:right w:val="single" w:color="auto" w:sz="4" w:space="0"/>
            </w:tcBorders>
            <w:noWrap/>
            <w:vAlign w:val="center"/>
          </w:tcPr>
          <w:p>
            <w:pPr>
              <w:widowControl/>
              <w:jc w:val="center"/>
              <w:rPr>
                <w:color w:val="auto"/>
                <w:kern w:val="0"/>
                <w:sz w:val="22"/>
                <w:szCs w:val="22"/>
                <w:highlight w:val="none"/>
              </w:rPr>
            </w:pPr>
            <w:r>
              <w:rPr>
                <w:color w:val="auto"/>
                <w:kern w:val="0"/>
                <w:sz w:val="22"/>
                <w:szCs w:val="22"/>
                <w:highlight w:val="none"/>
              </w:rPr>
              <w:t>斜拉桥</w:t>
            </w:r>
          </w:p>
        </w:tc>
        <w:tc>
          <w:tcPr>
            <w:tcW w:w="1701" w:type="dxa"/>
            <w:tcBorders>
              <w:top w:val="nil"/>
              <w:left w:val="nil"/>
              <w:bottom w:val="single" w:color="auto" w:sz="4" w:space="0"/>
              <w:right w:val="single" w:color="auto" w:sz="4" w:space="0"/>
            </w:tcBorders>
            <w:noWrap/>
            <w:vAlign w:val="center"/>
          </w:tcPr>
          <w:p>
            <w:pPr>
              <w:widowControl/>
              <w:jc w:val="center"/>
              <w:rPr>
                <w:color w:val="auto"/>
                <w:kern w:val="0"/>
                <w:sz w:val="22"/>
                <w:szCs w:val="22"/>
                <w:highlight w:val="none"/>
              </w:rPr>
            </w:pPr>
            <w:r>
              <w:rPr>
                <w:color w:val="auto"/>
                <w:kern w:val="0"/>
                <w:sz w:val="22"/>
                <w:szCs w:val="22"/>
                <w:highlight w:val="none"/>
              </w:rPr>
              <w:t>300m＞L≥200m</w:t>
            </w:r>
          </w:p>
        </w:tc>
        <w:tc>
          <w:tcPr>
            <w:tcW w:w="993" w:type="dxa"/>
            <w:tcBorders>
              <w:top w:val="nil"/>
              <w:left w:val="nil"/>
              <w:bottom w:val="single" w:color="auto" w:sz="4" w:space="0"/>
              <w:right w:val="single" w:color="auto" w:sz="4" w:space="0"/>
            </w:tcBorders>
            <w:vAlign w:val="center"/>
          </w:tcPr>
          <w:p>
            <w:pPr>
              <w:widowControl/>
              <w:jc w:val="center"/>
              <w:rPr>
                <w:color w:val="auto"/>
                <w:kern w:val="0"/>
                <w:sz w:val="22"/>
                <w:szCs w:val="22"/>
                <w:highlight w:val="none"/>
              </w:rPr>
            </w:pPr>
            <w:r>
              <w:rPr>
                <w:color w:val="auto"/>
                <w:kern w:val="0"/>
                <w:sz w:val="22"/>
                <w:szCs w:val="22"/>
                <w:highlight w:val="none"/>
              </w:rPr>
              <w:t>/</w:t>
            </w:r>
          </w:p>
        </w:tc>
        <w:tc>
          <w:tcPr>
            <w:tcW w:w="1275" w:type="dxa"/>
            <w:tcBorders>
              <w:top w:val="nil"/>
              <w:left w:val="nil"/>
              <w:bottom w:val="single" w:color="auto" w:sz="4" w:space="0"/>
              <w:right w:val="single" w:color="auto" w:sz="4" w:space="0"/>
            </w:tcBorders>
            <w:noWrap/>
            <w:vAlign w:val="center"/>
          </w:tcPr>
          <w:p>
            <w:pPr>
              <w:widowControl/>
              <w:jc w:val="center"/>
              <w:rPr>
                <w:color w:val="auto"/>
                <w:kern w:val="0"/>
                <w:sz w:val="22"/>
                <w:szCs w:val="22"/>
                <w:highlight w:val="none"/>
              </w:rPr>
            </w:pPr>
            <w:r>
              <w:rPr>
                <w:color w:val="auto"/>
                <w:kern w:val="0"/>
                <w:sz w:val="22"/>
                <w:szCs w:val="22"/>
                <w:highlight w:val="none"/>
              </w:rPr>
              <w:t>150m</w:t>
            </w:r>
          </w:p>
        </w:tc>
        <w:tc>
          <w:tcPr>
            <w:tcW w:w="1560" w:type="dxa"/>
            <w:gridSpan w:val="2"/>
            <w:vMerge w:val="continue"/>
            <w:tcBorders>
              <w:left w:val="single" w:color="auto" w:sz="4" w:space="0"/>
              <w:right w:val="single" w:color="auto" w:sz="4" w:space="0"/>
            </w:tcBorders>
            <w:vAlign w:val="center"/>
          </w:tcPr>
          <w:p>
            <w:pPr>
              <w:widowControl/>
              <w:jc w:val="left"/>
              <w:rPr>
                <w:color w:val="auto"/>
                <w:kern w:val="0"/>
                <w:sz w:val="22"/>
                <w:szCs w:val="22"/>
                <w:highlight w:val="none"/>
              </w:rPr>
            </w:pPr>
          </w:p>
        </w:tc>
        <w:tc>
          <w:tcPr>
            <w:tcW w:w="1940" w:type="dxa"/>
            <w:vMerge w:val="continue"/>
            <w:tcBorders>
              <w:left w:val="single" w:color="auto" w:sz="4" w:space="0"/>
              <w:right w:val="single" w:color="auto" w:sz="8" w:space="0"/>
            </w:tcBorders>
            <w:vAlign w:val="center"/>
          </w:tcPr>
          <w:p>
            <w:pPr>
              <w:widowControl/>
              <w:jc w:val="left"/>
              <w:rPr>
                <w:color w:val="auto"/>
                <w:kern w:val="0"/>
                <w:sz w:val="22"/>
                <w:szCs w:val="22"/>
                <w:highlight w:val="none"/>
              </w:rPr>
            </w:pPr>
          </w:p>
        </w:tc>
      </w:tr>
      <w:tr>
        <w:tblPrEx>
          <w:tblCellMar>
            <w:top w:w="0" w:type="dxa"/>
            <w:left w:w="108" w:type="dxa"/>
            <w:bottom w:w="0" w:type="dxa"/>
            <w:right w:w="108" w:type="dxa"/>
          </w:tblCellMar>
        </w:tblPrEx>
        <w:trPr>
          <w:trHeight w:val="454" w:hRule="atLeast"/>
        </w:trPr>
        <w:tc>
          <w:tcPr>
            <w:tcW w:w="1819" w:type="dxa"/>
            <w:tcBorders>
              <w:top w:val="nil"/>
              <w:left w:val="single" w:color="auto" w:sz="8" w:space="0"/>
              <w:bottom w:val="single" w:color="auto" w:sz="4" w:space="0"/>
              <w:right w:val="single" w:color="auto" w:sz="4" w:space="0"/>
            </w:tcBorders>
            <w:noWrap/>
            <w:vAlign w:val="center"/>
          </w:tcPr>
          <w:p>
            <w:pPr>
              <w:widowControl/>
              <w:jc w:val="center"/>
              <w:rPr>
                <w:color w:val="auto"/>
                <w:kern w:val="0"/>
                <w:sz w:val="22"/>
                <w:szCs w:val="22"/>
                <w:highlight w:val="none"/>
              </w:rPr>
            </w:pPr>
            <w:r>
              <w:rPr>
                <w:color w:val="auto"/>
                <w:kern w:val="0"/>
                <w:sz w:val="22"/>
                <w:szCs w:val="22"/>
                <w:highlight w:val="none"/>
              </w:rPr>
              <w:t>悬索桥</w:t>
            </w:r>
          </w:p>
        </w:tc>
        <w:tc>
          <w:tcPr>
            <w:tcW w:w="1701" w:type="dxa"/>
            <w:tcBorders>
              <w:top w:val="nil"/>
              <w:left w:val="nil"/>
              <w:bottom w:val="single" w:color="auto" w:sz="4" w:space="0"/>
              <w:right w:val="single" w:color="auto" w:sz="4" w:space="0"/>
            </w:tcBorders>
            <w:noWrap/>
            <w:vAlign w:val="center"/>
          </w:tcPr>
          <w:p>
            <w:pPr>
              <w:widowControl/>
              <w:jc w:val="center"/>
              <w:rPr>
                <w:color w:val="auto"/>
                <w:kern w:val="0"/>
                <w:sz w:val="22"/>
                <w:szCs w:val="22"/>
                <w:highlight w:val="none"/>
              </w:rPr>
            </w:pPr>
            <w:r>
              <w:rPr>
                <w:color w:val="auto"/>
                <w:kern w:val="0"/>
                <w:sz w:val="22"/>
                <w:szCs w:val="22"/>
                <w:highlight w:val="none"/>
              </w:rPr>
              <w:t>500m＞L≥200m</w:t>
            </w:r>
          </w:p>
        </w:tc>
        <w:tc>
          <w:tcPr>
            <w:tcW w:w="993" w:type="dxa"/>
            <w:tcBorders>
              <w:top w:val="nil"/>
              <w:left w:val="nil"/>
              <w:bottom w:val="single" w:color="auto" w:sz="4" w:space="0"/>
              <w:right w:val="single" w:color="auto" w:sz="4" w:space="0"/>
            </w:tcBorders>
            <w:vAlign w:val="center"/>
          </w:tcPr>
          <w:p>
            <w:pPr>
              <w:widowControl/>
              <w:jc w:val="center"/>
              <w:rPr>
                <w:color w:val="auto"/>
                <w:kern w:val="0"/>
                <w:sz w:val="22"/>
                <w:szCs w:val="22"/>
                <w:highlight w:val="none"/>
              </w:rPr>
            </w:pPr>
            <w:r>
              <w:rPr>
                <w:color w:val="auto"/>
                <w:kern w:val="0"/>
                <w:sz w:val="22"/>
                <w:szCs w:val="22"/>
                <w:highlight w:val="none"/>
              </w:rPr>
              <w:t>/</w:t>
            </w:r>
          </w:p>
        </w:tc>
        <w:tc>
          <w:tcPr>
            <w:tcW w:w="1275" w:type="dxa"/>
            <w:tcBorders>
              <w:top w:val="nil"/>
              <w:left w:val="nil"/>
              <w:bottom w:val="single" w:color="auto" w:sz="4" w:space="0"/>
              <w:right w:val="single" w:color="auto" w:sz="4" w:space="0"/>
            </w:tcBorders>
            <w:noWrap/>
            <w:vAlign w:val="center"/>
          </w:tcPr>
          <w:p>
            <w:pPr>
              <w:widowControl/>
              <w:jc w:val="center"/>
              <w:rPr>
                <w:color w:val="auto"/>
                <w:kern w:val="0"/>
                <w:sz w:val="22"/>
                <w:szCs w:val="22"/>
                <w:highlight w:val="none"/>
              </w:rPr>
            </w:pPr>
            <w:r>
              <w:rPr>
                <w:color w:val="auto"/>
                <w:kern w:val="0"/>
                <w:sz w:val="22"/>
                <w:szCs w:val="22"/>
                <w:highlight w:val="none"/>
              </w:rPr>
              <w:t>150m</w:t>
            </w:r>
          </w:p>
        </w:tc>
        <w:tc>
          <w:tcPr>
            <w:tcW w:w="1560" w:type="dxa"/>
            <w:gridSpan w:val="2"/>
            <w:vMerge w:val="continue"/>
            <w:tcBorders>
              <w:left w:val="single" w:color="auto" w:sz="4" w:space="0"/>
              <w:bottom w:val="single" w:color="auto" w:sz="4" w:space="0"/>
              <w:right w:val="single" w:color="auto" w:sz="4" w:space="0"/>
            </w:tcBorders>
            <w:vAlign w:val="center"/>
          </w:tcPr>
          <w:p>
            <w:pPr>
              <w:widowControl/>
              <w:jc w:val="left"/>
              <w:rPr>
                <w:color w:val="auto"/>
                <w:kern w:val="0"/>
                <w:sz w:val="22"/>
                <w:szCs w:val="22"/>
                <w:highlight w:val="none"/>
              </w:rPr>
            </w:pPr>
          </w:p>
        </w:tc>
        <w:tc>
          <w:tcPr>
            <w:tcW w:w="1940" w:type="dxa"/>
            <w:vMerge w:val="continue"/>
            <w:tcBorders>
              <w:left w:val="single" w:color="auto" w:sz="4" w:space="0"/>
              <w:right w:val="single" w:color="auto" w:sz="8" w:space="0"/>
            </w:tcBorders>
            <w:vAlign w:val="center"/>
          </w:tcPr>
          <w:p>
            <w:pPr>
              <w:widowControl/>
              <w:jc w:val="left"/>
              <w:rPr>
                <w:color w:val="auto"/>
                <w:kern w:val="0"/>
                <w:sz w:val="22"/>
                <w:szCs w:val="22"/>
                <w:highlight w:val="none"/>
              </w:rPr>
            </w:pPr>
          </w:p>
        </w:tc>
      </w:tr>
      <w:tr>
        <w:tblPrEx>
          <w:tblCellMar>
            <w:top w:w="0" w:type="dxa"/>
            <w:left w:w="108" w:type="dxa"/>
            <w:bottom w:w="0" w:type="dxa"/>
            <w:right w:w="108" w:type="dxa"/>
          </w:tblCellMar>
        </w:tblPrEx>
        <w:trPr>
          <w:trHeight w:val="454" w:hRule="atLeast"/>
        </w:trPr>
        <w:tc>
          <w:tcPr>
            <w:tcW w:w="1819" w:type="dxa"/>
            <w:tcBorders>
              <w:top w:val="single" w:color="auto" w:sz="4" w:space="0"/>
              <w:left w:val="single" w:color="auto" w:sz="8" w:space="0"/>
              <w:bottom w:val="single" w:color="auto" w:sz="4" w:space="0"/>
              <w:right w:val="single" w:color="auto" w:sz="4" w:space="0"/>
            </w:tcBorders>
            <w:noWrap/>
            <w:vAlign w:val="center"/>
          </w:tcPr>
          <w:p>
            <w:pPr>
              <w:widowControl/>
              <w:jc w:val="center"/>
              <w:rPr>
                <w:color w:val="auto"/>
                <w:kern w:val="0"/>
                <w:sz w:val="22"/>
                <w:szCs w:val="22"/>
                <w:highlight w:val="none"/>
              </w:rPr>
            </w:pPr>
            <w:r>
              <w:rPr>
                <w:color w:val="auto"/>
                <w:kern w:val="0"/>
                <w:sz w:val="22"/>
                <w:szCs w:val="22"/>
                <w:highlight w:val="none"/>
              </w:rPr>
              <w:t>各类形式桥梁</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color w:val="auto"/>
                <w:kern w:val="0"/>
                <w:sz w:val="22"/>
                <w:szCs w:val="22"/>
                <w:highlight w:val="none"/>
              </w:rPr>
            </w:pPr>
            <w:r>
              <w:rPr>
                <w:color w:val="auto"/>
                <w:kern w:val="0"/>
                <w:sz w:val="22"/>
                <w:szCs w:val="22"/>
                <w:highlight w:val="none"/>
              </w:rPr>
              <w:t>/</w:t>
            </w:r>
          </w:p>
        </w:tc>
        <w:tc>
          <w:tcPr>
            <w:tcW w:w="993" w:type="dxa"/>
            <w:tcBorders>
              <w:top w:val="single" w:color="auto" w:sz="4" w:space="0"/>
              <w:left w:val="nil"/>
              <w:bottom w:val="single" w:color="auto" w:sz="4" w:space="0"/>
              <w:right w:val="single" w:color="auto" w:sz="4" w:space="0"/>
            </w:tcBorders>
            <w:vAlign w:val="center"/>
          </w:tcPr>
          <w:p>
            <w:pPr>
              <w:widowControl/>
              <w:jc w:val="center"/>
              <w:rPr>
                <w:color w:val="auto"/>
                <w:kern w:val="0"/>
                <w:sz w:val="22"/>
                <w:szCs w:val="22"/>
                <w:highlight w:val="none"/>
              </w:rPr>
            </w:pPr>
            <w:r>
              <w:rPr>
                <w:color w:val="auto"/>
                <w:kern w:val="0"/>
                <w:sz w:val="22"/>
                <w:szCs w:val="22"/>
                <w:highlight w:val="none"/>
              </w:rPr>
              <w:t>≥3000m</w:t>
            </w:r>
          </w:p>
        </w:tc>
        <w:tc>
          <w:tcPr>
            <w:tcW w:w="1275" w:type="dxa"/>
            <w:tcBorders>
              <w:top w:val="single" w:color="auto" w:sz="4" w:space="0"/>
              <w:left w:val="nil"/>
              <w:bottom w:val="single" w:color="auto" w:sz="4" w:space="0"/>
              <w:right w:val="single" w:color="auto" w:sz="4" w:space="0"/>
            </w:tcBorders>
            <w:noWrap/>
            <w:vAlign w:val="center"/>
          </w:tcPr>
          <w:p>
            <w:pPr>
              <w:widowControl/>
              <w:jc w:val="center"/>
              <w:rPr>
                <w:color w:val="auto"/>
                <w:kern w:val="0"/>
                <w:sz w:val="22"/>
                <w:szCs w:val="22"/>
                <w:highlight w:val="none"/>
              </w:rPr>
            </w:pPr>
            <w:r>
              <w:rPr>
                <w:color w:val="auto"/>
                <w:kern w:val="0"/>
                <w:sz w:val="22"/>
                <w:szCs w:val="22"/>
                <w:highlight w:val="none"/>
              </w:rPr>
              <w:t>/</w:t>
            </w:r>
          </w:p>
        </w:tc>
        <w:tc>
          <w:tcPr>
            <w:tcW w:w="1560" w:type="dxa"/>
            <w:gridSpan w:val="2"/>
            <w:tcBorders>
              <w:top w:val="single" w:color="auto" w:sz="4" w:space="0"/>
              <w:left w:val="nil"/>
              <w:bottom w:val="single" w:color="auto" w:sz="4" w:space="0"/>
              <w:right w:val="single" w:color="auto" w:sz="4" w:space="0"/>
            </w:tcBorders>
            <w:vAlign w:val="center"/>
          </w:tcPr>
          <w:p>
            <w:pPr>
              <w:widowControl/>
              <w:jc w:val="center"/>
              <w:rPr>
                <w:color w:val="auto"/>
                <w:kern w:val="0"/>
                <w:sz w:val="22"/>
                <w:szCs w:val="22"/>
                <w:highlight w:val="none"/>
              </w:rPr>
            </w:pPr>
            <w:r>
              <w:rPr>
                <w:color w:val="auto"/>
                <w:kern w:val="0"/>
                <w:sz w:val="22"/>
                <w:szCs w:val="22"/>
                <w:highlight w:val="none"/>
              </w:rPr>
              <w:t>不大于桥梁长度60%</w:t>
            </w:r>
          </w:p>
        </w:tc>
        <w:tc>
          <w:tcPr>
            <w:tcW w:w="1940" w:type="dxa"/>
            <w:vMerge w:val="continue"/>
            <w:tcBorders>
              <w:left w:val="single" w:color="auto" w:sz="4" w:space="0"/>
              <w:bottom w:val="single" w:color="auto" w:sz="4" w:space="0"/>
              <w:right w:val="single" w:color="auto" w:sz="8" w:space="0"/>
            </w:tcBorders>
            <w:noWrap/>
            <w:vAlign w:val="center"/>
          </w:tcPr>
          <w:p>
            <w:pPr>
              <w:widowControl/>
              <w:jc w:val="center"/>
              <w:rPr>
                <w:color w:val="auto"/>
                <w:kern w:val="0"/>
                <w:sz w:val="22"/>
                <w:szCs w:val="22"/>
                <w:highlight w:val="none"/>
              </w:rPr>
            </w:pPr>
          </w:p>
        </w:tc>
      </w:tr>
      <w:tr>
        <w:tblPrEx>
          <w:tblCellMar>
            <w:top w:w="0" w:type="dxa"/>
            <w:left w:w="108" w:type="dxa"/>
            <w:bottom w:w="0" w:type="dxa"/>
            <w:right w:w="108" w:type="dxa"/>
          </w:tblCellMar>
        </w:tblPrEx>
        <w:trPr>
          <w:trHeight w:val="454" w:hRule="atLeast"/>
        </w:trPr>
        <w:tc>
          <w:tcPr>
            <w:tcW w:w="9288" w:type="dxa"/>
            <w:gridSpan w:val="7"/>
            <w:tcBorders>
              <w:top w:val="single" w:color="auto" w:sz="8" w:space="0"/>
              <w:left w:val="single" w:color="auto" w:sz="8" w:space="0"/>
              <w:bottom w:val="single" w:color="auto" w:sz="4" w:space="0"/>
              <w:right w:val="single" w:color="000000" w:sz="8" w:space="0"/>
            </w:tcBorders>
            <w:noWrap/>
            <w:vAlign w:val="center"/>
          </w:tcPr>
          <w:p>
            <w:pPr>
              <w:widowControl/>
              <w:jc w:val="center"/>
              <w:rPr>
                <w:color w:val="auto"/>
                <w:kern w:val="0"/>
                <w:sz w:val="22"/>
                <w:szCs w:val="22"/>
                <w:highlight w:val="none"/>
              </w:rPr>
            </w:pPr>
            <w:r>
              <w:rPr>
                <w:color w:val="auto"/>
                <w:kern w:val="0"/>
                <w:sz w:val="22"/>
                <w:szCs w:val="22"/>
                <w:highlight w:val="none"/>
              </w:rPr>
              <w:t>隧  道  工  程</w:t>
            </w:r>
          </w:p>
        </w:tc>
      </w:tr>
      <w:tr>
        <w:tblPrEx>
          <w:tblCellMar>
            <w:top w:w="0" w:type="dxa"/>
            <w:left w:w="108" w:type="dxa"/>
            <w:bottom w:w="0" w:type="dxa"/>
            <w:right w:w="108" w:type="dxa"/>
          </w:tblCellMar>
        </w:tblPrEx>
        <w:trPr>
          <w:trHeight w:val="454" w:hRule="atLeast"/>
        </w:trPr>
        <w:tc>
          <w:tcPr>
            <w:tcW w:w="1819" w:type="dxa"/>
            <w:tcBorders>
              <w:top w:val="nil"/>
              <w:left w:val="single" w:color="auto" w:sz="8" w:space="0"/>
              <w:bottom w:val="single" w:color="auto" w:sz="4" w:space="0"/>
              <w:right w:val="single" w:color="auto" w:sz="4" w:space="0"/>
            </w:tcBorders>
            <w:noWrap/>
            <w:vAlign w:val="center"/>
          </w:tcPr>
          <w:p>
            <w:pPr>
              <w:widowControl/>
              <w:jc w:val="center"/>
              <w:rPr>
                <w:color w:val="auto"/>
                <w:kern w:val="0"/>
                <w:sz w:val="22"/>
                <w:szCs w:val="22"/>
                <w:highlight w:val="none"/>
              </w:rPr>
            </w:pPr>
            <w:r>
              <w:rPr>
                <w:color w:val="auto"/>
                <w:kern w:val="0"/>
                <w:sz w:val="22"/>
                <w:szCs w:val="22"/>
                <w:highlight w:val="none"/>
              </w:rPr>
              <w:t>结构形式或范围</w:t>
            </w:r>
          </w:p>
        </w:tc>
        <w:tc>
          <w:tcPr>
            <w:tcW w:w="2694" w:type="dxa"/>
            <w:gridSpan w:val="2"/>
            <w:tcBorders>
              <w:top w:val="nil"/>
              <w:left w:val="nil"/>
              <w:bottom w:val="single" w:color="auto" w:sz="4" w:space="0"/>
              <w:right w:val="single" w:color="auto" w:sz="4" w:space="0"/>
            </w:tcBorders>
            <w:noWrap/>
            <w:vAlign w:val="center"/>
          </w:tcPr>
          <w:p>
            <w:pPr>
              <w:widowControl/>
              <w:jc w:val="center"/>
              <w:rPr>
                <w:color w:val="auto"/>
                <w:kern w:val="0"/>
                <w:sz w:val="22"/>
                <w:szCs w:val="22"/>
                <w:highlight w:val="none"/>
              </w:rPr>
            </w:pPr>
            <w:r>
              <w:rPr>
                <w:rFonts w:hint="eastAsia"/>
                <w:color w:val="auto"/>
                <w:kern w:val="0"/>
                <w:sz w:val="22"/>
                <w:szCs w:val="22"/>
                <w:highlight w:val="none"/>
              </w:rPr>
              <w:t>招标标段单座</w:t>
            </w:r>
          </w:p>
          <w:p>
            <w:pPr>
              <w:widowControl/>
              <w:jc w:val="center"/>
              <w:rPr>
                <w:color w:val="auto"/>
                <w:kern w:val="0"/>
                <w:sz w:val="22"/>
                <w:szCs w:val="22"/>
                <w:highlight w:val="none"/>
              </w:rPr>
            </w:pPr>
            <w:r>
              <w:rPr>
                <w:color w:val="auto"/>
                <w:kern w:val="0"/>
                <w:sz w:val="22"/>
                <w:szCs w:val="22"/>
                <w:highlight w:val="none"/>
              </w:rPr>
              <w:t>隧道长度L</w:t>
            </w:r>
          </w:p>
        </w:tc>
        <w:tc>
          <w:tcPr>
            <w:tcW w:w="2292" w:type="dxa"/>
            <w:gridSpan w:val="2"/>
            <w:tcBorders>
              <w:top w:val="single" w:color="auto" w:sz="4" w:space="0"/>
              <w:left w:val="nil"/>
              <w:bottom w:val="single" w:color="auto" w:sz="4" w:space="0"/>
              <w:right w:val="single" w:color="auto" w:sz="4" w:space="0"/>
            </w:tcBorders>
            <w:noWrap/>
            <w:vAlign w:val="center"/>
          </w:tcPr>
          <w:p>
            <w:pPr>
              <w:widowControl/>
              <w:jc w:val="center"/>
              <w:rPr>
                <w:color w:val="auto"/>
                <w:kern w:val="0"/>
                <w:sz w:val="22"/>
                <w:szCs w:val="22"/>
                <w:highlight w:val="none"/>
              </w:rPr>
            </w:pPr>
            <w:r>
              <w:rPr>
                <w:color w:val="auto"/>
                <w:kern w:val="0"/>
                <w:sz w:val="22"/>
                <w:szCs w:val="22"/>
                <w:highlight w:val="none"/>
              </w:rPr>
              <w:t>“资格审查条件（业绩最低要求）”设置标准</w:t>
            </w:r>
          </w:p>
        </w:tc>
        <w:tc>
          <w:tcPr>
            <w:tcW w:w="2483" w:type="dxa"/>
            <w:gridSpan w:val="2"/>
            <w:tcBorders>
              <w:top w:val="nil"/>
              <w:left w:val="nil"/>
              <w:bottom w:val="single" w:color="auto" w:sz="4" w:space="0"/>
              <w:right w:val="single" w:color="auto" w:sz="8" w:space="0"/>
            </w:tcBorders>
            <w:noWrap/>
            <w:vAlign w:val="center"/>
          </w:tcPr>
          <w:p>
            <w:pPr>
              <w:widowControl/>
              <w:jc w:val="center"/>
              <w:rPr>
                <w:color w:val="auto"/>
                <w:kern w:val="0"/>
                <w:sz w:val="22"/>
                <w:szCs w:val="22"/>
                <w:highlight w:val="none"/>
              </w:rPr>
            </w:pPr>
            <w:r>
              <w:rPr>
                <w:color w:val="auto"/>
                <w:kern w:val="0"/>
                <w:sz w:val="22"/>
                <w:szCs w:val="22"/>
                <w:highlight w:val="none"/>
              </w:rPr>
              <w:t>其  他</w:t>
            </w:r>
          </w:p>
        </w:tc>
      </w:tr>
      <w:tr>
        <w:tblPrEx>
          <w:tblCellMar>
            <w:top w:w="0" w:type="dxa"/>
            <w:left w:w="108" w:type="dxa"/>
            <w:bottom w:w="0" w:type="dxa"/>
            <w:right w:w="108" w:type="dxa"/>
          </w:tblCellMar>
        </w:tblPrEx>
        <w:trPr>
          <w:trHeight w:val="454" w:hRule="atLeast"/>
        </w:trPr>
        <w:tc>
          <w:tcPr>
            <w:tcW w:w="1819" w:type="dxa"/>
            <w:tcBorders>
              <w:top w:val="nil"/>
              <w:left w:val="single" w:color="auto" w:sz="8" w:space="0"/>
              <w:bottom w:val="single" w:color="auto" w:sz="4" w:space="0"/>
              <w:right w:val="single" w:color="auto" w:sz="4" w:space="0"/>
            </w:tcBorders>
            <w:noWrap/>
            <w:vAlign w:val="center"/>
          </w:tcPr>
          <w:p>
            <w:pPr>
              <w:widowControl/>
              <w:jc w:val="center"/>
              <w:rPr>
                <w:color w:val="auto"/>
                <w:kern w:val="0"/>
                <w:sz w:val="22"/>
                <w:szCs w:val="22"/>
                <w:highlight w:val="none"/>
              </w:rPr>
            </w:pPr>
            <w:r>
              <w:rPr>
                <w:color w:val="auto"/>
                <w:kern w:val="0"/>
                <w:sz w:val="22"/>
                <w:szCs w:val="22"/>
                <w:highlight w:val="none"/>
              </w:rPr>
              <w:t>特长隧道</w:t>
            </w:r>
          </w:p>
        </w:tc>
        <w:tc>
          <w:tcPr>
            <w:tcW w:w="2694" w:type="dxa"/>
            <w:gridSpan w:val="2"/>
            <w:tcBorders>
              <w:top w:val="nil"/>
              <w:left w:val="nil"/>
              <w:bottom w:val="single" w:color="auto" w:sz="4" w:space="0"/>
              <w:right w:val="single" w:color="auto" w:sz="4" w:space="0"/>
            </w:tcBorders>
            <w:noWrap/>
            <w:vAlign w:val="center"/>
          </w:tcPr>
          <w:p>
            <w:pPr>
              <w:widowControl/>
              <w:jc w:val="center"/>
              <w:rPr>
                <w:color w:val="auto"/>
                <w:kern w:val="0"/>
                <w:sz w:val="22"/>
                <w:szCs w:val="22"/>
                <w:highlight w:val="none"/>
              </w:rPr>
            </w:pPr>
            <w:r>
              <w:rPr>
                <w:color w:val="auto"/>
                <w:kern w:val="0"/>
                <w:sz w:val="22"/>
                <w:szCs w:val="22"/>
                <w:highlight w:val="none"/>
              </w:rPr>
              <w:t>L≥3000m</w:t>
            </w:r>
          </w:p>
        </w:tc>
        <w:tc>
          <w:tcPr>
            <w:tcW w:w="2292" w:type="dxa"/>
            <w:gridSpan w:val="2"/>
            <w:tcBorders>
              <w:top w:val="single" w:color="auto" w:sz="4" w:space="0"/>
              <w:left w:val="nil"/>
              <w:bottom w:val="single" w:color="auto" w:sz="4" w:space="0"/>
              <w:right w:val="single" w:color="auto" w:sz="4" w:space="0"/>
            </w:tcBorders>
            <w:noWrap/>
            <w:vAlign w:val="center"/>
          </w:tcPr>
          <w:p>
            <w:pPr>
              <w:widowControl/>
              <w:jc w:val="center"/>
              <w:rPr>
                <w:color w:val="auto"/>
                <w:kern w:val="0"/>
                <w:sz w:val="22"/>
                <w:szCs w:val="22"/>
                <w:highlight w:val="none"/>
              </w:rPr>
            </w:pPr>
            <w:r>
              <w:rPr>
                <w:color w:val="auto"/>
                <w:kern w:val="0"/>
                <w:sz w:val="22"/>
                <w:szCs w:val="22"/>
                <w:highlight w:val="none"/>
              </w:rPr>
              <w:t>1000m</w:t>
            </w:r>
          </w:p>
        </w:tc>
        <w:tc>
          <w:tcPr>
            <w:tcW w:w="2483" w:type="dxa"/>
            <w:gridSpan w:val="2"/>
            <w:vMerge w:val="restart"/>
            <w:tcBorders>
              <w:top w:val="nil"/>
              <w:left w:val="single" w:color="auto" w:sz="4" w:space="0"/>
              <w:bottom w:val="single" w:color="000000" w:sz="8" w:space="0"/>
              <w:right w:val="single" w:color="auto" w:sz="8" w:space="0"/>
            </w:tcBorders>
            <w:vAlign w:val="center"/>
          </w:tcPr>
          <w:p>
            <w:pPr>
              <w:widowControl/>
              <w:jc w:val="left"/>
              <w:rPr>
                <w:color w:val="auto"/>
                <w:kern w:val="0"/>
                <w:sz w:val="22"/>
                <w:szCs w:val="22"/>
                <w:highlight w:val="none"/>
              </w:rPr>
            </w:pPr>
            <w:r>
              <w:rPr>
                <w:color w:val="auto"/>
                <w:kern w:val="0"/>
                <w:sz w:val="22"/>
                <w:szCs w:val="22"/>
                <w:highlight w:val="none"/>
              </w:rPr>
              <w:t>其余长度的隧道原则上要求完成过类似结构形式的隧道工程，但对长度不作要求。</w:t>
            </w:r>
          </w:p>
        </w:tc>
      </w:tr>
      <w:tr>
        <w:tblPrEx>
          <w:tblCellMar>
            <w:top w:w="0" w:type="dxa"/>
            <w:left w:w="108" w:type="dxa"/>
            <w:bottom w:w="0" w:type="dxa"/>
            <w:right w:w="108" w:type="dxa"/>
          </w:tblCellMar>
        </w:tblPrEx>
        <w:trPr>
          <w:trHeight w:val="454" w:hRule="atLeast"/>
        </w:trPr>
        <w:tc>
          <w:tcPr>
            <w:tcW w:w="1819" w:type="dxa"/>
            <w:tcBorders>
              <w:top w:val="nil"/>
              <w:left w:val="single" w:color="auto" w:sz="8" w:space="0"/>
              <w:bottom w:val="single" w:color="auto" w:sz="8" w:space="0"/>
              <w:right w:val="single" w:color="auto" w:sz="4" w:space="0"/>
            </w:tcBorders>
            <w:noWrap/>
            <w:vAlign w:val="center"/>
          </w:tcPr>
          <w:p>
            <w:pPr>
              <w:widowControl/>
              <w:jc w:val="center"/>
              <w:rPr>
                <w:color w:val="auto"/>
                <w:kern w:val="0"/>
                <w:sz w:val="22"/>
                <w:szCs w:val="22"/>
                <w:highlight w:val="none"/>
              </w:rPr>
            </w:pPr>
            <w:r>
              <w:rPr>
                <w:color w:val="auto"/>
                <w:kern w:val="0"/>
                <w:sz w:val="22"/>
                <w:szCs w:val="22"/>
                <w:highlight w:val="none"/>
              </w:rPr>
              <w:t>长隧道</w:t>
            </w:r>
          </w:p>
        </w:tc>
        <w:tc>
          <w:tcPr>
            <w:tcW w:w="2694" w:type="dxa"/>
            <w:gridSpan w:val="2"/>
            <w:tcBorders>
              <w:top w:val="nil"/>
              <w:left w:val="nil"/>
              <w:bottom w:val="single" w:color="auto" w:sz="8" w:space="0"/>
              <w:right w:val="single" w:color="auto" w:sz="4" w:space="0"/>
            </w:tcBorders>
            <w:noWrap/>
            <w:vAlign w:val="center"/>
          </w:tcPr>
          <w:p>
            <w:pPr>
              <w:widowControl/>
              <w:jc w:val="center"/>
              <w:rPr>
                <w:color w:val="auto"/>
                <w:kern w:val="0"/>
                <w:sz w:val="22"/>
                <w:szCs w:val="22"/>
                <w:highlight w:val="none"/>
              </w:rPr>
            </w:pPr>
            <w:r>
              <w:rPr>
                <w:color w:val="auto"/>
                <w:kern w:val="0"/>
                <w:sz w:val="22"/>
                <w:szCs w:val="22"/>
                <w:highlight w:val="none"/>
              </w:rPr>
              <w:t>3000m＞L≥1000m</w:t>
            </w:r>
          </w:p>
        </w:tc>
        <w:tc>
          <w:tcPr>
            <w:tcW w:w="2292" w:type="dxa"/>
            <w:gridSpan w:val="2"/>
            <w:tcBorders>
              <w:top w:val="single" w:color="auto" w:sz="4" w:space="0"/>
              <w:left w:val="nil"/>
              <w:bottom w:val="single" w:color="auto" w:sz="8" w:space="0"/>
              <w:right w:val="single" w:color="auto" w:sz="4" w:space="0"/>
            </w:tcBorders>
            <w:noWrap/>
            <w:vAlign w:val="center"/>
          </w:tcPr>
          <w:p>
            <w:pPr>
              <w:widowControl/>
              <w:jc w:val="center"/>
              <w:rPr>
                <w:color w:val="auto"/>
                <w:kern w:val="0"/>
                <w:sz w:val="22"/>
                <w:szCs w:val="22"/>
                <w:highlight w:val="none"/>
              </w:rPr>
            </w:pPr>
            <w:r>
              <w:rPr>
                <w:color w:val="auto"/>
                <w:kern w:val="0"/>
                <w:sz w:val="22"/>
                <w:szCs w:val="22"/>
                <w:highlight w:val="none"/>
              </w:rPr>
              <w:t>500m</w:t>
            </w:r>
          </w:p>
        </w:tc>
        <w:tc>
          <w:tcPr>
            <w:tcW w:w="2483" w:type="dxa"/>
            <w:gridSpan w:val="2"/>
            <w:vMerge w:val="continue"/>
            <w:tcBorders>
              <w:top w:val="nil"/>
              <w:left w:val="single" w:color="auto" w:sz="4" w:space="0"/>
              <w:bottom w:val="single" w:color="000000" w:sz="8" w:space="0"/>
              <w:right w:val="single" w:color="auto" w:sz="8" w:space="0"/>
            </w:tcBorders>
            <w:vAlign w:val="center"/>
          </w:tcPr>
          <w:p>
            <w:pPr>
              <w:widowControl/>
              <w:jc w:val="left"/>
              <w:rPr>
                <w:color w:val="auto"/>
                <w:kern w:val="0"/>
                <w:sz w:val="22"/>
                <w:szCs w:val="22"/>
                <w:highlight w:val="none"/>
              </w:rPr>
            </w:pPr>
          </w:p>
        </w:tc>
      </w:tr>
    </w:tbl>
    <w:p>
      <w:pPr>
        <w:spacing w:line="440" w:lineRule="exact"/>
        <w:ind w:firstLine="408" w:firstLineChars="200"/>
        <w:rPr>
          <w:rFonts w:eastAsia="宋体"/>
          <w:color w:val="auto"/>
          <w:sz w:val="21"/>
          <w:szCs w:val="21"/>
          <w:highlight w:val="none"/>
        </w:rPr>
      </w:pPr>
      <w:r>
        <w:rPr>
          <w:rFonts w:eastAsia="宋体"/>
          <w:color w:val="auto"/>
          <w:sz w:val="21"/>
          <w:szCs w:val="21"/>
          <w:highlight w:val="none"/>
        </w:rPr>
        <w:t>注：a.公路工程的路基、路面工程以及所有房建、机电、交通安全设施等附属工程，原则上仅要求近5年来完成过相应公路等级类似工程内容的业绩最低要求。</w:t>
      </w:r>
    </w:p>
    <w:p>
      <w:pPr>
        <w:spacing w:line="440" w:lineRule="exact"/>
        <w:ind w:firstLine="408" w:firstLineChars="200"/>
        <w:rPr>
          <w:rFonts w:eastAsia="宋体"/>
          <w:color w:val="auto"/>
          <w:sz w:val="21"/>
          <w:szCs w:val="21"/>
          <w:highlight w:val="none"/>
        </w:rPr>
      </w:pPr>
      <w:r>
        <w:rPr>
          <w:rFonts w:eastAsia="宋体"/>
          <w:color w:val="auto"/>
          <w:sz w:val="21"/>
          <w:szCs w:val="21"/>
          <w:highlight w:val="none"/>
        </w:rPr>
        <w:t>b.符合适用条件的项目其“资格审查条件（业绩最低要求）”统一按上表中数值设置，如：钢桁架、钢管砼拱桥，不论单跨跨径为90m或60m，业绩最低要求均设置为：跨径40m。</w:t>
      </w:r>
    </w:p>
    <w:p>
      <w:pPr>
        <w:spacing w:line="440" w:lineRule="exact"/>
        <w:ind w:firstLine="408" w:firstLineChars="200"/>
        <w:rPr>
          <w:rFonts w:hint="default" w:eastAsia="宋体"/>
          <w:color w:val="auto"/>
          <w:sz w:val="21"/>
          <w:szCs w:val="21"/>
          <w:highlight w:val="none"/>
          <w:lang w:val="en-US" w:eastAsia="zh-CN"/>
        </w:rPr>
      </w:pPr>
      <w:r>
        <w:rPr>
          <w:rFonts w:hint="eastAsia" w:eastAsia="宋体"/>
          <w:color w:val="auto"/>
          <w:sz w:val="21"/>
          <w:szCs w:val="21"/>
          <w:highlight w:val="none"/>
          <w:lang w:val="en-US" w:eastAsia="zh-CN"/>
        </w:rPr>
        <w:t>c.采用“技术打分制的合理低价法”时，加分业绩可参照“综合评分法”的加分业绩设置。</w:t>
      </w:r>
    </w:p>
    <w:p>
      <w:pPr>
        <w:rPr>
          <w:color w:val="auto"/>
          <w:highlight w:val="none"/>
        </w:rPr>
      </w:pPr>
    </w:p>
    <w:p>
      <w:pPr>
        <w:widowControl/>
        <w:jc w:val="left"/>
        <w:rPr>
          <w:color w:val="auto"/>
          <w:highlight w:val="none"/>
        </w:rPr>
      </w:pPr>
      <w:r>
        <w:rPr>
          <w:color w:val="auto"/>
          <w:highlight w:val="none"/>
        </w:rPr>
        <w:br w:type="page"/>
      </w:r>
    </w:p>
    <w:p>
      <w:pPr>
        <w:rPr>
          <w:rFonts w:ascii="宋体" w:hAnsi="宋体" w:eastAsia="宋体"/>
          <w:color w:val="auto"/>
          <w:sz w:val="21"/>
          <w:szCs w:val="21"/>
          <w:highlight w:val="none"/>
        </w:rPr>
      </w:pPr>
      <w:r>
        <w:rPr>
          <w:rFonts w:ascii="宋体" w:hAnsi="宋体" w:eastAsia="宋体"/>
          <w:color w:val="auto"/>
          <w:sz w:val="21"/>
          <w:szCs w:val="21"/>
          <w:highlight w:val="none"/>
        </w:rPr>
        <w:t>附件</w:t>
      </w:r>
      <w:r>
        <w:rPr>
          <w:rFonts w:hint="eastAsia" w:ascii="宋体" w:hAnsi="宋体" w:eastAsia="宋体"/>
          <w:color w:val="auto"/>
          <w:sz w:val="21"/>
          <w:szCs w:val="21"/>
          <w:highlight w:val="none"/>
        </w:rPr>
        <w:t>2  技术打分制的合理低价法</w:t>
      </w:r>
    </w:p>
    <w:p>
      <w:pPr>
        <w:jc w:val="center"/>
        <w:rPr>
          <w:rFonts w:ascii="宋体" w:hAnsi="宋体" w:eastAsia="宋体"/>
          <w:b/>
          <w:bCs/>
          <w:color w:val="auto"/>
          <w:sz w:val="21"/>
          <w:szCs w:val="21"/>
          <w:highlight w:val="none"/>
        </w:rPr>
      </w:pPr>
      <w:r>
        <w:rPr>
          <w:rFonts w:ascii="宋体" w:hAnsi="宋体" w:eastAsia="宋体"/>
          <w:b/>
          <w:bCs/>
          <w:color w:val="auto"/>
          <w:sz w:val="21"/>
          <w:szCs w:val="21"/>
          <w:highlight w:val="none"/>
        </w:rPr>
        <w:t>评标办法（</w:t>
      </w:r>
      <w:r>
        <w:rPr>
          <w:rFonts w:hint="eastAsia" w:ascii="宋体" w:hAnsi="宋体" w:eastAsia="宋体"/>
          <w:b/>
          <w:bCs/>
          <w:color w:val="auto"/>
          <w:sz w:val="21"/>
          <w:szCs w:val="21"/>
          <w:highlight w:val="none"/>
        </w:rPr>
        <w:t>技术打分制的合理低价法</w:t>
      </w:r>
      <w:bookmarkStart w:id="8" w:name="_Toc141974025"/>
      <w:r>
        <w:rPr>
          <w:rFonts w:ascii="宋体" w:hAnsi="宋体" w:eastAsia="宋体"/>
          <w:b/>
          <w:bCs/>
          <w:color w:val="auto"/>
          <w:sz w:val="21"/>
          <w:szCs w:val="21"/>
          <w:highlight w:val="none"/>
        </w:rPr>
        <w:t>）</w:t>
      </w:r>
      <w:bookmarkEnd w:id="8"/>
    </w:p>
    <w:p>
      <w:pPr>
        <w:rPr>
          <w:rFonts w:ascii="宋体" w:hAnsi="宋体" w:eastAsia="宋体"/>
          <w:bCs/>
          <w:color w:val="auto"/>
          <w:sz w:val="21"/>
          <w:szCs w:val="21"/>
          <w:highlight w:val="none"/>
        </w:rPr>
      </w:pPr>
      <w:bookmarkStart w:id="9" w:name="_Toc141974026"/>
      <w:r>
        <w:rPr>
          <w:rFonts w:ascii="宋体" w:hAnsi="宋体" w:eastAsia="宋体"/>
          <w:bCs/>
          <w:color w:val="auto"/>
          <w:sz w:val="21"/>
          <w:szCs w:val="21"/>
          <w:highlight w:val="none"/>
        </w:rPr>
        <w:t>评标办法前附表</w:t>
      </w:r>
      <w:bookmarkEnd w:id="9"/>
    </w:p>
    <w:tbl>
      <w:tblPr>
        <w:tblStyle w:val="12"/>
        <w:tblW w:w="4995" w:type="pct"/>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0" w:type="dxa"/>
          <w:bottom w:w="0" w:type="dxa"/>
          <w:right w:w="0" w:type="dxa"/>
        </w:tblCellMar>
      </w:tblPr>
      <w:tblGrid>
        <w:gridCol w:w="1067"/>
        <w:gridCol w:w="2055"/>
        <w:gridCol w:w="57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32" w:hRule="atLeast"/>
          <w:tblHeader/>
        </w:trPr>
        <w:tc>
          <w:tcPr>
            <w:tcW w:w="602" w:type="pct"/>
            <w:vAlign w:val="center"/>
          </w:tcPr>
          <w:p>
            <w:pPr>
              <w:jc w:val="center"/>
              <w:rPr>
                <w:rFonts w:ascii="宋体" w:hAnsi="宋体" w:eastAsia="宋体"/>
                <w:color w:val="auto"/>
                <w:sz w:val="21"/>
                <w:szCs w:val="21"/>
                <w:highlight w:val="none"/>
              </w:rPr>
            </w:pPr>
            <w:r>
              <w:rPr>
                <w:rFonts w:ascii="宋体" w:hAnsi="宋体" w:eastAsia="宋体"/>
                <w:color w:val="auto"/>
                <w:sz w:val="21"/>
                <w:szCs w:val="21"/>
                <w:highlight w:val="none"/>
              </w:rPr>
              <w:t>条款号</w:t>
            </w:r>
          </w:p>
        </w:tc>
        <w:tc>
          <w:tcPr>
            <w:tcW w:w="1159" w:type="pct"/>
            <w:vAlign w:val="center"/>
          </w:tcPr>
          <w:p>
            <w:pPr>
              <w:rPr>
                <w:rFonts w:ascii="宋体" w:hAnsi="宋体" w:eastAsia="宋体"/>
                <w:color w:val="auto"/>
                <w:sz w:val="21"/>
                <w:szCs w:val="21"/>
                <w:highlight w:val="none"/>
              </w:rPr>
            </w:pPr>
            <w:r>
              <w:rPr>
                <w:rFonts w:ascii="宋体" w:hAnsi="宋体" w:eastAsia="宋体"/>
                <w:color w:val="auto"/>
                <w:sz w:val="21"/>
                <w:szCs w:val="21"/>
                <w:highlight w:val="none"/>
              </w:rPr>
              <w:t>条款内容</w:t>
            </w:r>
          </w:p>
        </w:tc>
        <w:tc>
          <w:tcPr>
            <w:tcW w:w="3239" w:type="pct"/>
            <w:vAlign w:val="center"/>
          </w:tcPr>
          <w:p>
            <w:pPr>
              <w:rPr>
                <w:rFonts w:ascii="宋体" w:hAnsi="宋体" w:eastAsia="宋体"/>
                <w:color w:val="auto"/>
                <w:sz w:val="21"/>
                <w:szCs w:val="21"/>
                <w:highlight w:val="none"/>
              </w:rPr>
            </w:pPr>
            <w:r>
              <w:rPr>
                <w:rFonts w:ascii="宋体" w:hAnsi="宋体" w:eastAsia="宋体"/>
                <w:color w:val="auto"/>
                <w:sz w:val="21"/>
                <w:szCs w:val="21"/>
                <w:highlight w:val="none"/>
              </w:rPr>
              <w:t>编列内容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98" w:hRule="atLeast"/>
        </w:trPr>
        <w:tc>
          <w:tcPr>
            <w:tcW w:w="602" w:type="pct"/>
            <w:vAlign w:val="center"/>
          </w:tcPr>
          <w:p>
            <w:pPr>
              <w:jc w:val="center"/>
              <w:rPr>
                <w:rFonts w:ascii="宋体" w:hAnsi="宋体" w:eastAsia="宋体"/>
                <w:color w:val="auto"/>
                <w:sz w:val="21"/>
                <w:szCs w:val="21"/>
                <w:highlight w:val="none"/>
              </w:rPr>
            </w:pPr>
            <w:r>
              <w:rPr>
                <w:rFonts w:ascii="宋体" w:hAnsi="宋体" w:eastAsia="宋体"/>
                <w:color w:val="auto"/>
                <w:sz w:val="21"/>
                <w:szCs w:val="21"/>
                <w:highlight w:val="none"/>
              </w:rPr>
              <w:t>1</w:t>
            </w:r>
          </w:p>
        </w:tc>
        <w:tc>
          <w:tcPr>
            <w:tcW w:w="1159" w:type="pct"/>
            <w:vAlign w:val="center"/>
          </w:tcPr>
          <w:p>
            <w:pPr>
              <w:rPr>
                <w:rFonts w:ascii="宋体" w:hAnsi="宋体" w:eastAsia="宋体"/>
                <w:color w:val="auto"/>
                <w:sz w:val="21"/>
                <w:szCs w:val="21"/>
                <w:highlight w:val="none"/>
              </w:rPr>
            </w:pPr>
            <w:r>
              <w:rPr>
                <w:rFonts w:hint="eastAsia" w:ascii="宋体" w:hAnsi="宋体" w:eastAsia="宋体"/>
                <w:color w:val="auto"/>
                <w:sz w:val="21"/>
                <w:szCs w:val="21"/>
                <w:highlight w:val="none"/>
              </w:rPr>
              <w:t>第一个信封得分或第二个</w:t>
            </w:r>
            <w:r>
              <w:rPr>
                <w:rFonts w:ascii="宋体" w:hAnsi="宋体" w:eastAsia="宋体"/>
                <w:color w:val="auto"/>
                <w:sz w:val="21"/>
                <w:szCs w:val="21"/>
                <w:highlight w:val="none"/>
              </w:rPr>
              <w:t>信封得分相等时优先顺序</w:t>
            </w:r>
          </w:p>
        </w:tc>
        <w:tc>
          <w:tcPr>
            <w:tcW w:w="3239" w:type="pct"/>
            <w:vAlign w:val="center"/>
          </w:tcPr>
          <w:p>
            <w:pPr>
              <w:rPr>
                <w:rFonts w:ascii="宋体" w:hAnsi="宋体" w:eastAsia="宋体"/>
                <w:color w:val="auto"/>
                <w:sz w:val="21"/>
                <w:szCs w:val="21"/>
                <w:highlight w:val="none"/>
              </w:rPr>
            </w:pPr>
            <w:r>
              <w:rPr>
                <w:rFonts w:ascii="宋体" w:hAnsi="宋体" w:eastAsia="宋体"/>
                <w:color w:val="auto"/>
                <w:sz w:val="21"/>
                <w:szCs w:val="21"/>
                <w:highlight w:val="none"/>
              </w:rPr>
              <w:t>（1）信誉得分高的投标人优先；</w:t>
            </w:r>
          </w:p>
          <w:p>
            <w:pPr>
              <w:rPr>
                <w:rFonts w:ascii="宋体" w:hAnsi="宋体" w:eastAsia="宋体"/>
                <w:color w:val="auto"/>
                <w:sz w:val="21"/>
                <w:szCs w:val="21"/>
                <w:highlight w:val="none"/>
              </w:rPr>
            </w:pPr>
            <w:r>
              <w:rPr>
                <w:rFonts w:ascii="宋体" w:hAnsi="宋体" w:eastAsia="宋体"/>
                <w:color w:val="auto"/>
                <w:sz w:val="21"/>
                <w:szCs w:val="21"/>
                <w:highlight w:val="none"/>
              </w:rPr>
              <w:t>（2）</w:t>
            </w:r>
            <w:r>
              <w:rPr>
                <w:rFonts w:hint="eastAsia" w:ascii="宋体" w:hAnsi="宋体" w:eastAsia="宋体"/>
                <w:color w:val="auto"/>
                <w:sz w:val="21"/>
                <w:szCs w:val="21"/>
                <w:highlight w:val="none"/>
              </w:rPr>
              <w:t>施工组织设计</w:t>
            </w:r>
            <w:r>
              <w:rPr>
                <w:rFonts w:ascii="宋体" w:hAnsi="宋体" w:eastAsia="宋体"/>
                <w:color w:val="auto"/>
                <w:sz w:val="21"/>
                <w:szCs w:val="21"/>
                <w:highlight w:val="none"/>
              </w:rPr>
              <w:t>得分高的投标人优先。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08" w:hRule="atLeast"/>
        </w:trPr>
        <w:tc>
          <w:tcPr>
            <w:tcW w:w="602" w:type="pct"/>
            <w:vAlign w:val="center"/>
          </w:tcPr>
          <w:p>
            <w:pPr>
              <w:jc w:val="center"/>
              <w:rPr>
                <w:rFonts w:ascii="宋体" w:hAnsi="宋体" w:eastAsia="宋体"/>
                <w:color w:val="auto"/>
                <w:sz w:val="21"/>
                <w:szCs w:val="21"/>
                <w:highlight w:val="none"/>
              </w:rPr>
            </w:pPr>
            <w:r>
              <w:rPr>
                <w:rFonts w:ascii="宋体" w:hAnsi="宋体" w:eastAsia="宋体"/>
                <w:color w:val="auto"/>
                <w:sz w:val="21"/>
                <w:szCs w:val="21"/>
                <w:highlight w:val="none"/>
              </w:rPr>
              <w:t>2.1.1</w:t>
            </w:r>
          </w:p>
          <w:p>
            <w:pPr>
              <w:jc w:val="center"/>
              <w:rPr>
                <w:rFonts w:ascii="宋体" w:hAnsi="宋体" w:eastAsia="宋体"/>
                <w:color w:val="auto"/>
                <w:sz w:val="21"/>
                <w:szCs w:val="21"/>
                <w:highlight w:val="none"/>
              </w:rPr>
            </w:pPr>
            <w:r>
              <w:rPr>
                <w:rFonts w:ascii="宋体" w:hAnsi="宋体" w:eastAsia="宋体"/>
                <w:color w:val="auto"/>
                <w:sz w:val="21"/>
                <w:szCs w:val="21"/>
                <w:highlight w:val="none"/>
              </w:rPr>
              <w:t>2.1.3</w:t>
            </w:r>
          </w:p>
        </w:tc>
        <w:tc>
          <w:tcPr>
            <w:tcW w:w="1159" w:type="pct"/>
            <w:vAlign w:val="center"/>
          </w:tcPr>
          <w:p>
            <w:pPr>
              <w:rPr>
                <w:rFonts w:ascii="宋体" w:hAnsi="宋体" w:eastAsia="宋体"/>
                <w:color w:val="auto"/>
                <w:sz w:val="21"/>
                <w:szCs w:val="21"/>
                <w:highlight w:val="none"/>
              </w:rPr>
            </w:pPr>
            <w:r>
              <w:rPr>
                <w:rFonts w:ascii="宋体" w:hAnsi="宋体" w:eastAsia="宋体"/>
                <w:color w:val="auto"/>
                <w:sz w:val="21"/>
                <w:szCs w:val="21"/>
                <w:highlight w:val="none"/>
              </w:rPr>
              <w:t>第一个信封形式评审与响应性评审标准</w:t>
            </w:r>
          </w:p>
        </w:tc>
        <w:tc>
          <w:tcPr>
            <w:tcW w:w="3239" w:type="pct"/>
            <w:vAlign w:val="center"/>
          </w:tcPr>
          <w:p>
            <w:pPr>
              <w:rPr>
                <w:rFonts w:ascii="宋体" w:hAnsi="宋体" w:eastAsia="宋体"/>
                <w:color w:val="auto"/>
                <w:sz w:val="21"/>
                <w:szCs w:val="21"/>
                <w:highlight w:val="none"/>
              </w:rPr>
            </w:pPr>
            <w:r>
              <w:rPr>
                <w:rFonts w:ascii="宋体" w:hAnsi="宋体" w:eastAsia="宋体"/>
                <w:color w:val="auto"/>
                <w:sz w:val="21"/>
                <w:szCs w:val="21"/>
                <w:highlight w:val="none"/>
              </w:rPr>
              <w:t>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76" w:hRule="atLeast"/>
        </w:trPr>
        <w:tc>
          <w:tcPr>
            <w:tcW w:w="602" w:type="pct"/>
            <w:vAlign w:val="center"/>
          </w:tcPr>
          <w:p>
            <w:pPr>
              <w:jc w:val="center"/>
              <w:rPr>
                <w:rFonts w:ascii="宋体" w:hAnsi="宋体" w:eastAsia="宋体"/>
                <w:color w:val="auto"/>
                <w:sz w:val="21"/>
                <w:szCs w:val="21"/>
                <w:highlight w:val="none"/>
              </w:rPr>
            </w:pPr>
            <w:r>
              <w:rPr>
                <w:rFonts w:ascii="宋体" w:hAnsi="宋体" w:eastAsia="宋体"/>
                <w:color w:val="auto"/>
                <w:sz w:val="21"/>
                <w:szCs w:val="21"/>
                <w:highlight w:val="none"/>
              </w:rPr>
              <w:t>2.1.1</w:t>
            </w:r>
          </w:p>
          <w:p>
            <w:pPr>
              <w:jc w:val="center"/>
              <w:rPr>
                <w:rFonts w:ascii="宋体" w:hAnsi="宋体" w:eastAsia="宋体"/>
                <w:color w:val="auto"/>
                <w:sz w:val="21"/>
                <w:szCs w:val="21"/>
                <w:highlight w:val="none"/>
              </w:rPr>
            </w:pPr>
            <w:r>
              <w:rPr>
                <w:rFonts w:ascii="宋体" w:hAnsi="宋体" w:eastAsia="宋体"/>
                <w:color w:val="auto"/>
                <w:sz w:val="21"/>
                <w:szCs w:val="21"/>
                <w:highlight w:val="none"/>
              </w:rPr>
              <w:t>2.1.3</w:t>
            </w:r>
          </w:p>
        </w:tc>
        <w:tc>
          <w:tcPr>
            <w:tcW w:w="1159" w:type="pct"/>
            <w:vAlign w:val="center"/>
          </w:tcPr>
          <w:p>
            <w:pPr>
              <w:rPr>
                <w:rFonts w:ascii="宋体" w:hAnsi="宋体" w:eastAsia="宋体"/>
                <w:color w:val="auto"/>
                <w:sz w:val="21"/>
                <w:szCs w:val="21"/>
                <w:highlight w:val="none"/>
              </w:rPr>
            </w:pPr>
            <w:r>
              <w:rPr>
                <w:rFonts w:ascii="宋体" w:hAnsi="宋体" w:eastAsia="宋体"/>
                <w:color w:val="auto"/>
                <w:sz w:val="21"/>
                <w:szCs w:val="21"/>
                <w:highlight w:val="none"/>
              </w:rPr>
              <w:t>第二个信封形式评审与响应性评审标准</w:t>
            </w:r>
          </w:p>
        </w:tc>
        <w:tc>
          <w:tcPr>
            <w:tcW w:w="3239" w:type="pct"/>
            <w:vAlign w:val="center"/>
          </w:tcPr>
          <w:p>
            <w:pPr>
              <w:rPr>
                <w:rFonts w:ascii="宋体" w:hAnsi="宋体" w:eastAsia="宋体"/>
                <w:color w:val="auto"/>
                <w:sz w:val="21"/>
                <w:szCs w:val="21"/>
                <w:highlight w:val="none"/>
              </w:rPr>
            </w:pPr>
            <w:r>
              <w:rPr>
                <w:rFonts w:ascii="宋体" w:hAnsi="宋体" w:eastAsia="宋体"/>
                <w:color w:val="auto"/>
                <w:sz w:val="21"/>
                <w:szCs w:val="21"/>
                <w:highlight w:val="none"/>
              </w:rPr>
              <w:t>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00" w:hRule="atLeast"/>
        </w:trPr>
        <w:tc>
          <w:tcPr>
            <w:tcW w:w="602" w:type="pct"/>
            <w:vAlign w:val="center"/>
          </w:tcPr>
          <w:p>
            <w:pPr>
              <w:jc w:val="center"/>
              <w:rPr>
                <w:rFonts w:ascii="宋体" w:hAnsi="宋体" w:eastAsia="宋体"/>
                <w:color w:val="auto"/>
                <w:sz w:val="21"/>
                <w:szCs w:val="21"/>
                <w:highlight w:val="none"/>
              </w:rPr>
            </w:pPr>
            <w:r>
              <w:rPr>
                <w:rFonts w:ascii="宋体" w:hAnsi="宋体" w:eastAsia="宋体"/>
                <w:color w:val="auto"/>
                <w:sz w:val="21"/>
                <w:szCs w:val="21"/>
                <w:highlight w:val="none"/>
              </w:rPr>
              <w:t>2.1.2</w:t>
            </w:r>
          </w:p>
        </w:tc>
        <w:tc>
          <w:tcPr>
            <w:tcW w:w="1159" w:type="pct"/>
            <w:vAlign w:val="center"/>
          </w:tcPr>
          <w:p>
            <w:pPr>
              <w:rPr>
                <w:rFonts w:ascii="宋体" w:hAnsi="宋体" w:eastAsia="宋体"/>
                <w:color w:val="auto"/>
                <w:sz w:val="21"/>
                <w:szCs w:val="21"/>
                <w:highlight w:val="none"/>
              </w:rPr>
            </w:pPr>
            <w:r>
              <w:rPr>
                <w:rFonts w:ascii="宋体" w:hAnsi="宋体" w:eastAsia="宋体"/>
                <w:color w:val="auto"/>
                <w:sz w:val="21"/>
                <w:szCs w:val="21"/>
                <w:highlight w:val="none"/>
              </w:rPr>
              <w:t>资格评审标准</w:t>
            </w:r>
          </w:p>
        </w:tc>
        <w:tc>
          <w:tcPr>
            <w:tcW w:w="3239" w:type="pct"/>
            <w:vAlign w:val="center"/>
          </w:tcPr>
          <w:p>
            <w:pPr>
              <w:rPr>
                <w:rFonts w:ascii="宋体" w:hAnsi="宋体" w:eastAsia="宋体"/>
                <w:color w:val="auto"/>
                <w:sz w:val="21"/>
                <w:szCs w:val="21"/>
                <w:highlight w:val="none"/>
              </w:rPr>
            </w:pPr>
            <w:r>
              <w:rPr>
                <w:rFonts w:ascii="宋体" w:hAnsi="宋体" w:eastAsia="宋体"/>
                <w:color w:val="auto"/>
                <w:sz w:val="21"/>
                <w:szCs w:val="21"/>
                <w:highlight w:val="none"/>
              </w:rPr>
              <w:t>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48" w:hRule="atLeast"/>
        </w:trPr>
        <w:tc>
          <w:tcPr>
            <w:tcW w:w="602" w:type="pct"/>
            <w:vAlign w:val="center"/>
          </w:tcPr>
          <w:p>
            <w:pPr>
              <w:jc w:val="center"/>
              <w:rPr>
                <w:rFonts w:ascii="宋体" w:hAnsi="宋体" w:eastAsia="宋体"/>
                <w:color w:val="auto"/>
                <w:sz w:val="21"/>
                <w:szCs w:val="21"/>
                <w:highlight w:val="none"/>
              </w:rPr>
            </w:pPr>
            <w:r>
              <w:rPr>
                <w:rFonts w:ascii="宋体" w:hAnsi="宋体" w:eastAsia="宋体"/>
                <w:color w:val="auto"/>
                <w:sz w:val="21"/>
                <w:szCs w:val="21"/>
                <w:highlight w:val="none"/>
              </w:rPr>
              <w:t>2.2.1</w:t>
            </w:r>
          </w:p>
        </w:tc>
        <w:tc>
          <w:tcPr>
            <w:tcW w:w="1159" w:type="pct"/>
            <w:vAlign w:val="center"/>
          </w:tcPr>
          <w:p>
            <w:pPr>
              <w:rPr>
                <w:rFonts w:ascii="宋体" w:hAnsi="宋体" w:eastAsia="宋体"/>
                <w:color w:val="auto"/>
                <w:sz w:val="21"/>
                <w:szCs w:val="21"/>
                <w:highlight w:val="none"/>
              </w:rPr>
            </w:pPr>
            <w:r>
              <w:rPr>
                <w:rFonts w:ascii="宋体" w:hAnsi="宋体" w:eastAsia="宋体"/>
                <w:color w:val="auto"/>
                <w:sz w:val="21"/>
                <w:szCs w:val="21"/>
                <w:highlight w:val="none"/>
              </w:rPr>
              <w:t>分值构成</w:t>
            </w:r>
          </w:p>
          <w:p>
            <w:pPr>
              <w:rPr>
                <w:rFonts w:ascii="宋体" w:hAnsi="宋体" w:eastAsia="宋体"/>
                <w:color w:val="auto"/>
                <w:sz w:val="21"/>
                <w:szCs w:val="21"/>
                <w:highlight w:val="none"/>
              </w:rPr>
            </w:pPr>
            <w:r>
              <w:rPr>
                <w:rFonts w:ascii="宋体" w:hAnsi="宋体" w:eastAsia="宋体"/>
                <w:color w:val="auto"/>
                <w:sz w:val="21"/>
                <w:szCs w:val="21"/>
                <w:highlight w:val="none"/>
              </w:rPr>
              <w:t>（</w:t>
            </w:r>
            <w:r>
              <w:rPr>
                <w:rFonts w:hint="eastAsia" w:ascii="宋体" w:hAnsi="宋体" w:eastAsia="宋体"/>
                <w:color w:val="auto"/>
                <w:sz w:val="21"/>
                <w:szCs w:val="21"/>
                <w:highlight w:val="none"/>
              </w:rPr>
              <w:t>均为</w:t>
            </w:r>
            <w:r>
              <w:rPr>
                <w:rFonts w:ascii="宋体" w:hAnsi="宋体" w:eastAsia="宋体"/>
                <w:color w:val="auto"/>
                <w:sz w:val="21"/>
                <w:szCs w:val="21"/>
                <w:highlight w:val="none"/>
              </w:rPr>
              <w:t>100分）</w:t>
            </w:r>
          </w:p>
        </w:tc>
        <w:tc>
          <w:tcPr>
            <w:tcW w:w="3239" w:type="pct"/>
            <w:vAlign w:val="center"/>
          </w:tcPr>
          <w:p>
            <w:pPr>
              <w:rPr>
                <w:rFonts w:ascii="宋体" w:hAnsi="宋体" w:eastAsia="宋体"/>
                <w:color w:val="auto"/>
                <w:sz w:val="21"/>
                <w:szCs w:val="21"/>
                <w:highlight w:val="none"/>
                <w:u w:val="single"/>
              </w:rPr>
            </w:pPr>
            <w:r>
              <w:rPr>
                <w:rFonts w:hint="eastAsia" w:ascii="宋体" w:hAnsi="宋体" w:eastAsia="宋体"/>
                <w:color w:val="auto"/>
                <w:sz w:val="21"/>
                <w:szCs w:val="21"/>
                <w:highlight w:val="none"/>
              </w:rPr>
              <w:t>分值构成采用下述</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w:t>
            </w:r>
          </w:p>
          <w:p>
            <w:pPr>
              <w:rPr>
                <w:rFonts w:ascii="宋体" w:hAnsi="宋体" w:eastAsia="宋体"/>
                <w:b/>
                <w:color w:val="auto"/>
                <w:sz w:val="21"/>
                <w:szCs w:val="21"/>
                <w:highlight w:val="none"/>
              </w:rPr>
            </w:pPr>
            <w:r>
              <w:rPr>
                <w:rFonts w:hint="eastAsia" w:ascii="宋体" w:hAnsi="宋体" w:eastAsia="宋体"/>
                <w:b/>
                <w:color w:val="auto"/>
                <w:sz w:val="21"/>
                <w:szCs w:val="21"/>
                <w:highlight w:val="none"/>
              </w:rPr>
              <w:t>a.方案一：</w:t>
            </w:r>
          </w:p>
          <w:p>
            <w:pPr>
              <w:rPr>
                <w:rFonts w:ascii="宋体" w:hAnsi="宋体" w:eastAsia="宋体"/>
                <w:color w:val="auto"/>
                <w:sz w:val="21"/>
                <w:szCs w:val="21"/>
                <w:highlight w:val="none"/>
              </w:rPr>
            </w:pPr>
            <w:r>
              <w:rPr>
                <w:rFonts w:ascii="宋体" w:hAnsi="宋体" w:eastAsia="宋体"/>
                <w:color w:val="auto"/>
                <w:sz w:val="21"/>
                <w:szCs w:val="21"/>
                <w:highlight w:val="none"/>
              </w:rPr>
              <w:t>第一个信封（商务及技术文件）评分分值构成：</w:t>
            </w:r>
          </w:p>
          <w:p>
            <w:pPr>
              <w:rPr>
                <w:rFonts w:ascii="宋体" w:hAnsi="宋体" w:eastAsia="宋体"/>
                <w:color w:val="auto"/>
                <w:sz w:val="21"/>
                <w:szCs w:val="21"/>
                <w:highlight w:val="none"/>
              </w:rPr>
            </w:pPr>
            <w:r>
              <w:rPr>
                <w:rFonts w:hint="eastAsia" w:ascii="宋体" w:hAnsi="宋体" w:eastAsia="宋体"/>
                <w:color w:val="auto"/>
                <w:sz w:val="21"/>
                <w:szCs w:val="21"/>
                <w:highlight w:val="none"/>
              </w:rPr>
              <w:t>通过第一个信封评审的得基本分80分，再对其施工组织设计、业绩、主要人员、信誉等因素进行评分，分值构成如下：</w:t>
            </w:r>
          </w:p>
          <w:p>
            <w:pPr>
              <w:rPr>
                <w:rFonts w:ascii="宋体" w:hAnsi="宋体" w:eastAsia="宋体"/>
                <w:color w:val="auto"/>
                <w:sz w:val="21"/>
                <w:szCs w:val="21"/>
                <w:highlight w:val="none"/>
                <w:lang w:val="de-DE"/>
              </w:rPr>
            </w:pPr>
            <w:r>
              <w:rPr>
                <w:rFonts w:ascii="宋体" w:hAnsi="宋体" w:eastAsia="宋体"/>
                <w:color w:val="auto"/>
                <w:sz w:val="21"/>
                <w:szCs w:val="21"/>
                <w:highlight w:val="none"/>
              </w:rPr>
              <w:t>施工组织设计：</w:t>
            </w:r>
            <w:r>
              <w:rPr>
                <w:rFonts w:hint="eastAsia" w:ascii="宋体" w:hAnsi="宋体" w:eastAsia="宋体"/>
                <w:color w:val="auto"/>
                <w:sz w:val="21"/>
                <w:szCs w:val="21"/>
                <w:highlight w:val="none"/>
              </w:rPr>
              <w:t>15.5~18.5</w:t>
            </w:r>
            <w:r>
              <w:rPr>
                <w:rFonts w:ascii="宋体" w:hAnsi="宋体" w:eastAsia="宋体"/>
                <w:color w:val="auto"/>
                <w:sz w:val="21"/>
                <w:szCs w:val="21"/>
                <w:highlight w:val="none"/>
              </w:rPr>
              <w:t>分</w:t>
            </w:r>
          </w:p>
          <w:p>
            <w:pPr>
              <w:rPr>
                <w:rFonts w:ascii="宋体" w:hAnsi="宋体" w:eastAsia="宋体"/>
                <w:color w:val="auto"/>
                <w:sz w:val="21"/>
                <w:szCs w:val="21"/>
                <w:highlight w:val="none"/>
              </w:rPr>
            </w:pPr>
            <w:r>
              <w:rPr>
                <w:rFonts w:hint="eastAsia" w:ascii="宋体" w:hAnsi="宋体" w:eastAsia="宋体"/>
                <w:color w:val="auto"/>
                <w:sz w:val="21"/>
                <w:szCs w:val="21"/>
                <w:highlight w:val="none"/>
              </w:rPr>
              <w:t>业绩：0~2分</w:t>
            </w:r>
          </w:p>
          <w:p>
            <w:pPr>
              <w:rPr>
                <w:rFonts w:ascii="宋体" w:hAnsi="宋体" w:eastAsia="宋体"/>
                <w:color w:val="auto"/>
                <w:sz w:val="21"/>
                <w:szCs w:val="21"/>
                <w:highlight w:val="none"/>
              </w:rPr>
            </w:pPr>
            <w:r>
              <w:rPr>
                <w:rFonts w:ascii="宋体" w:hAnsi="宋体" w:eastAsia="宋体"/>
                <w:color w:val="auto"/>
                <w:sz w:val="21"/>
                <w:szCs w:val="21"/>
                <w:highlight w:val="none"/>
              </w:rPr>
              <w:t>主要人员：</w:t>
            </w:r>
            <w:r>
              <w:rPr>
                <w:rFonts w:hint="eastAsia" w:ascii="宋体" w:hAnsi="宋体" w:eastAsia="宋体"/>
                <w:color w:val="auto"/>
                <w:sz w:val="21"/>
                <w:szCs w:val="21"/>
                <w:highlight w:val="none"/>
              </w:rPr>
              <w:t>0~1</w:t>
            </w:r>
            <w:r>
              <w:rPr>
                <w:rFonts w:ascii="宋体" w:hAnsi="宋体" w:eastAsia="宋体"/>
                <w:color w:val="auto"/>
                <w:sz w:val="21"/>
                <w:szCs w:val="21"/>
                <w:highlight w:val="none"/>
              </w:rPr>
              <w:t>分</w:t>
            </w:r>
          </w:p>
          <w:p>
            <w:pP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信誉：1.5分</w:t>
            </w:r>
          </w:p>
          <w:p>
            <w:pPr>
              <w:rPr>
                <w:rFonts w:ascii="宋体" w:hAnsi="宋体" w:eastAsia="宋体"/>
                <w:color w:val="auto"/>
                <w:sz w:val="21"/>
                <w:szCs w:val="21"/>
                <w:highlight w:val="none"/>
              </w:rPr>
            </w:pPr>
            <w:r>
              <w:rPr>
                <w:rFonts w:ascii="宋体" w:hAnsi="宋体" w:eastAsia="宋体"/>
                <w:color w:val="auto"/>
                <w:sz w:val="21"/>
                <w:szCs w:val="21"/>
                <w:highlight w:val="none"/>
              </w:rPr>
              <w:t>第二个信封（报价文件）评分分值构成：</w:t>
            </w:r>
          </w:p>
          <w:p>
            <w:pPr>
              <w:rPr>
                <w:rFonts w:ascii="宋体" w:hAnsi="宋体" w:eastAsia="宋体"/>
                <w:color w:val="auto"/>
                <w:sz w:val="21"/>
                <w:szCs w:val="21"/>
                <w:highlight w:val="none"/>
              </w:rPr>
            </w:pPr>
            <w:r>
              <w:rPr>
                <w:rFonts w:hint="eastAsia" w:ascii="宋体" w:hAnsi="宋体" w:eastAsia="宋体"/>
                <w:color w:val="auto"/>
                <w:sz w:val="21"/>
                <w:szCs w:val="21"/>
                <w:highlight w:val="none"/>
              </w:rPr>
              <w:t>评标价：98.5分</w:t>
            </w:r>
          </w:p>
          <w:p>
            <w:pPr>
              <w:rPr>
                <w:rFonts w:ascii="宋体" w:hAnsi="宋体" w:eastAsia="宋体"/>
                <w:color w:val="auto"/>
                <w:sz w:val="21"/>
                <w:szCs w:val="21"/>
                <w:highlight w:val="none"/>
              </w:rPr>
            </w:pPr>
            <w:r>
              <w:rPr>
                <w:rFonts w:hint="eastAsia" w:ascii="宋体" w:hAnsi="宋体" w:eastAsia="宋体"/>
                <w:color w:val="auto"/>
                <w:sz w:val="21"/>
                <w:szCs w:val="21"/>
                <w:highlight w:val="none"/>
              </w:rPr>
              <w:t>信誉：1.5分</w:t>
            </w:r>
          </w:p>
          <w:p>
            <w:pPr>
              <w:rPr>
                <w:rFonts w:ascii="宋体" w:hAnsi="宋体" w:eastAsia="宋体"/>
                <w:b/>
                <w:color w:val="auto"/>
                <w:sz w:val="21"/>
                <w:szCs w:val="21"/>
                <w:highlight w:val="none"/>
              </w:rPr>
            </w:pPr>
            <w:r>
              <w:rPr>
                <w:rFonts w:hint="eastAsia" w:ascii="宋体" w:hAnsi="宋体" w:eastAsia="宋体"/>
                <w:b/>
                <w:color w:val="auto"/>
                <w:sz w:val="21"/>
                <w:szCs w:val="21"/>
                <w:highlight w:val="none"/>
              </w:rPr>
              <w:t>b.方案二：</w:t>
            </w:r>
          </w:p>
          <w:p>
            <w:pPr>
              <w:rPr>
                <w:rFonts w:ascii="宋体" w:hAnsi="宋体" w:eastAsia="宋体"/>
                <w:color w:val="auto"/>
                <w:sz w:val="21"/>
                <w:szCs w:val="21"/>
                <w:highlight w:val="none"/>
              </w:rPr>
            </w:pPr>
            <w:r>
              <w:rPr>
                <w:rFonts w:ascii="宋体" w:hAnsi="宋体" w:eastAsia="宋体"/>
                <w:color w:val="auto"/>
                <w:sz w:val="21"/>
                <w:szCs w:val="21"/>
                <w:highlight w:val="none"/>
              </w:rPr>
              <w:t>第一个信封（商务及技术文件）评分分值构成：</w:t>
            </w:r>
          </w:p>
          <w:p>
            <w:pPr>
              <w:rPr>
                <w:rFonts w:ascii="宋体" w:hAnsi="宋体" w:eastAsia="宋体"/>
                <w:color w:val="auto"/>
                <w:sz w:val="21"/>
                <w:szCs w:val="21"/>
                <w:highlight w:val="none"/>
              </w:rPr>
            </w:pPr>
            <w:r>
              <w:rPr>
                <w:rFonts w:hint="eastAsia" w:ascii="宋体" w:hAnsi="宋体" w:eastAsia="宋体"/>
                <w:color w:val="auto"/>
                <w:sz w:val="21"/>
                <w:szCs w:val="21"/>
                <w:highlight w:val="none"/>
              </w:rPr>
              <w:t>通过第一个信封评审的得基本分80分，再对其施工组织设计、业绩、主要人员、信誉等因素进行评分，分值构成如下：</w:t>
            </w:r>
          </w:p>
          <w:p>
            <w:pPr>
              <w:rPr>
                <w:rFonts w:ascii="宋体" w:hAnsi="宋体" w:eastAsia="宋体"/>
                <w:color w:val="auto"/>
                <w:sz w:val="21"/>
                <w:szCs w:val="21"/>
                <w:highlight w:val="none"/>
                <w:lang w:val="de-DE"/>
              </w:rPr>
            </w:pPr>
            <w:r>
              <w:rPr>
                <w:rFonts w:ascii="宋体" w:hAnsi="宋体" w:eastAsia="宋体"/>
                <w:color w:val="auto"/>
                <w:sz w:val="21"/>
                <w:szCs w:val="21"/>
                <w:highlight w:val="none"/>
              </w:rPr>
              <w:t>施工组织设计：</w:t>
            </w:r>
            <w:r>
              <w:rPr>
                <w:rFonts w:hint="eastAsia" w:ascii="宋体" w:hAnsi="宋体" w:eastAsia="宋体"/>
                <w:color w:val="auto"/>
                <w:sz w:val="21"/>
                <w:szCs w:val="21"/>
                <w:highlight w:val="none"/>
              </w:rPr>
              <w:t>15.5~18.5</w:t>
            </w:r>
            <w:r>
              <w:rPr>
                <w:rFonts w:ascii="宋体" w:hAnsi="宋体" w:eastAsia="宋体"/>
                <w:color w:val="auto"/>
                <w:sz w:val="21"/>
                <w:szCs w:val="21"/>
                <w:highlight w:val="none"/>
              </w:rPr>
              <w:t>分</w:t>
            </w:r>
          </w:p>
          <w:p>
            <w:pPr>
              <w:rPr>
                <w:rFonts w:ascii="宋体" w:hAnsi="宋体" w:eastAsia="宋体"/>
                <w:color w:val="auto"/>
                <w:sz w:val="21"/>
                <w:szCs w:val="21"/>
                <w:highlight w:val="none"/>
              </w:rPr>
            </w:pPr>
            <w:r>
              <w:rPr>
                <w:rFonts w:hint="eastAsia" w:ascii="宋体" w:hAnsi="宋体" w:eastAsia="宋体"/>
                <w:color w:val="auto"/>
                <w:sz w:val="21"/>
                <w:szCs w:val="21"/>
                <w:highlight w:val="none"/>
              </w:rPr>
              <w:t>业绩：0~2分</w:t>
            </w:r>
          </w:p>
          <w:p>
            <w:pPr>
              <w:rPr>
                <w:rFonts w:ascii="宋体" w:hAnsi="宋体" w:eastAsia="宋体"/>
                <w:color w:val="auto"/>
                <w:sz w:val="21"/>
                <w:szCs w:val="21"/>
                <w:highlight w:val="none"/>
              </w:rPr>
            </w:pPr>
            <w:r>
              <w:rPr>
                <w:rFonts w:ascii="宋体" w:hAnsi="宋体" w:eastAsia="宋体"/>
                <w:color w:val="auto"/>
                <w:sz w:val="21"/>
                <w:szCs w:val="21"/>
                <w:highlight w:val="none"/>
              </w:rPr>
              <w:t>主要人员：</w:t>
            </w:r>
            <w:r>
              <w:rPr>
                <w:rFonts w:hint="eastAsia" w:ascii="宋体" w:hAnsi="宋体" w:eastAsia="宋体"/>
                <w:color w:val="auto"/>
                <w:sz w:val="21"/>
                <w:szCs w:val="21"/>
                <w:highlight w:val="none"/>
              </w:rPr>
              <w:t>0~1</w:t>
            </w:r>
            <w:r>
              <w:rPr>
                <w:rFonts w:ascii="宋体" w:hAnsi="宋体" w:eastAsia="宋体"/>
                <w:color w:val="auto"/>
                <w:sz w:val="21"/>
                <w:szCs w:val="21"/>
                <w:highlight w:val="none"/>
              </w:rPr>
              <w:t>分</w:t>
            </w:r>
          </w:p>
          <w:p>
            <w:pP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信誉：1.5分</w:t>
            </w:r>
          </w:p>
          <w:p>
            <w:pPr>
              <w:rPr>
                <w:rFonts w:ascii="宋体" w:hAnsi="宋体" w:eastAsia="宋体"/>
                <w:color w:val="auto"/>
                <w:sz w:val="21"/>
                <w:szCs w:val="21"/>
                <w:highlight w:val="none"/>
              </w:rPr>
            </w:pPr>
            <w:r>
              <w:rPr>
                <w:rFonts w:ascii="宋体" w:hAnsi="宋体" w:eastAsia="宋体"/>
                <w:color w:val="auto"/>
                <w:sz w:val="21"/>
                <w:szCs w:val="21"/>
                <w:highlight w:val="none"/>
              </w:rPr>
              <w:t>第二个信封（报价文件）评分分值构成：</w:t>
            </w:r>
          </w:p>
          <w:p>
            <w:pPr>
              <w:rPr>
                <w:rFonts w:ascii="宋体" w:hAnsi="宋体" w:eastAsia="宋体"/>
                <w:color w:val="auto"/>
                <w:sz w:val="21"/>
                <w:szCs w:val="21"/>
                <w:highlight w:val="none"/>
              </w:rPr>
            </w:pPr>
            <w:r>
              <w:rPr>
                <w:rFonts w:hint="eastAsia" w:ascii="宋体" w:hAnsi="宋体" w:eastAsia="宋体"/>
                <w:color w:val="auto"/>
                <w:sz w:val="21"/>
                <w:szCs w:val="21"/>
                <w:highlight w:val="none"/>
              </w:rPr>
              <w:t>评标价：100分</w:t>
            </w:r>
          </w:p>
          <w:p>
            <w:pPr>
              <w:rPr>
                <w:rFonts w:ascii="宋体" w:hAnsi="宋体" w:eastAsia="宋体"/>
                <w:b/>
                <w:color w:val="auto"/>
                <w:sz w:val="21"/>
                <w:szCs w:val="21"/>
                <w:highlight w:val="none"/>
              </w:rPr>
            </w:pPr>
            <w:r>
              <w:rPr>
                <w:rFonts w:hint="eastAsia" w:ascii="宋体" w:hAnsi="宋体" w:eastAsia="宋体"/>
                <w:b/>
                <w:color w:val="auto"/>
                <w:sz w:val="21"/>
                <w:szCs w:val="21"/>
                <w:highlight w:val="none"/>
              </w:rPr>
              <w:t>c.方案三：</w:t>
            </w:r>
          </w:p>
          <w:p>
            <w:pPr>
              <w:rPr>
                <w:rFonts w:ascii="宋体" w:hAnsi="宋体" w:eastAsia="宋体"/>
                <w:color w:val="auto"/>
                <w:sz w:val="21"/>
                <w:szCs w:val="21"/>
                <w:highlight w:val="none"/>
              </w:rPr>
            </w:pPr>
            <w:r>
              <w:rPr>
                <w:rFonts w:ascii="宋体" w:hAnsi="宋体" w:eastAsia="宋体"/>
                <w:color w:val="auto"/>
                <w:sz w:val="21"/>
                <w:szCs w:val="21"/>
                <w:highlight w:val="none"/>
              </w:rPr>
              <w:t>第一个信封（商务及技术文件）评分分值构成：</w:t>
            </w:r>
          </w:p>
          <w:p>
            <w:pPr>
              <w:rPr>
                <w:rFonts w:ascii="宋体" w:hAnsi="宋体" w:eastAsia="宋体"/>
                <w:color w:val="auto"/>
                <w:sz w:val="21"/>
                <w:szCs w:val="21"/>
                <w:highlight w:val="none"/>
              </w:rPr>
            </w:pPr>
            <w:r>
              <w:rPr>
                <w:rFonts w:hint="eastAsia" w:ascii="宋体" w:hAnsi="宋体" w:eastAsia="宋体"/>
                <w:color w:val="auto"/>
                <w:sz w:val="21"/>
                <w:szCs w:val="21"/>
                <w:highlight w:val="none"/>
              </w:rPr>
              <w:t>通过第一个信封评审的得基本分80分，再对其施工组织设计、业绩、主要人员、信誉等因素进行评分，分值构成如下：</w:t>
            </w:r>
          </w:p>
          <w:p>
            <w:pPr>
              <w:rPr>
                <w:rFonts w:ascii="宋体" w:hAnsi="宋体" w:eastAsia="宋体"/>
                <w:color w:val="auto"/>
                <w:sz w:val="21"/>
                <w:szCs w:val="21"/>
                <w:highlight w:val="none"/>
                <w:lang w:val="de-DE"/>
              </w:rPr>
            </w:pPr>
            <w:r>
              <w:rPr>
                <w:rFonts w:ascii="宋体" w:hAnsi="宋体" w:eastAsia="宋体"/>
                <w:color w:val="auto"/>
                <w:sz w:val="21"/>
                <w:szCs w:val="21"/>
                <w:highlight w:val="none"/>
              </w:rPr>
              <w:t>施工组织设计：</w:t>
            </w:r>
            <w:r>
              <w:rPr>
                <w:rFonts w:hint="eastAsia" w:ascii="宋体" w:hAnsi="宋体" w:eastAsia="宋体"/>
                <w:color w:val="auto"/>
                <w:sz w:val="21"/>
                <w:szCs w:val="21"/>
                <w:highlight w:val="none"/>
              </w:rPr>
              <w:t>17~20</w:t>
            </w:r>
            <w:r>
              <w:rPr>
                <w:rFonts w:ascii="宋体" w:hAnsi="宋体" w:eastAsia="宋体"/>
                <w:color w:val="auto"/>
                <w:sz w:val="21"/>
                <w:szCs w:val="21"/>
                <w:highlight w:val="none"/>
              </w:rPr>
              <w:t>分</w:t>
            </w:r>
          </w:p>
          <w:p>
            <w:pPr>
              <w:rPr>
                <w:rFonts w:ascii="宋体" w:hAnsi="宋体" w:eastAsia="宋体"/>
                <w:color w:val="auto"/>
                <w:sz w:val="21"/>
                <w:szCs w:val="21"/>
                <w:highlight w:val="none"/>
              </w:rPr>
            </w:pPr>
            <w:r>
              <w:rPr>
                <w:rFonts w:hint="eastAsia" w:ascii="宋体" w:hAnsi="宋体" w:eastAsia="宋体"/>
                <w:color w:val="auto"/>
                <w:sz w:val="21"/>
                <w:szCs w:val="21"/>
                <w:highlight w:val="none"/>
              </w:rPr>
              <w:t>业绩：0~2分</w:t>
            </w:r>
          </w:p>
          <w:p>
            <w:pPr>
              <w:rPr>
                <w:rFonts w:ascii="宋体" w:hAnsi="宋体" w:eastAsia="宋体"/>
                <w:color w:val="auto"/>
                <w:sz w:val="21"/>
                <w:szCs w:val="21"/>
                <w:highlight w:val="none"/>
              </w:rPr>
            </w:pPr>
            <w:r>
              <w:rPr>
                <w:rFonts w:ascii="宋体" w:hAnsi="宋体" w:eastAsia="宋体"/>
                <w:color w:val="auto"/>
                <w:sz w:val="21"/>
                <w:szCs w:val="21"/>
                <w:highlight w:val="none"/>
              </w:rPr>
              <w:t>主要人员：</w:t>
            </w:r>
            <w:r>
              <w:rPr>
                <w:rFonts w:hint="eastAsia" w:ascii="宋体" w:hAnsi="宋体" w:eastAsia="宋体"/>
                <w:color w:val="auto"/>
                <w:sz w:val="21"/>
                <w:szCs w:val="21"/>
                <w:highlight w:val="none"/>
              </w:rPr>
              <w:t>0~1</w:t>
            </w:r>
            <w:r>
              <w:rPr>
                <w:rFonts w:ascii="宋体" w:hAnsi="宋体" w:eastAsia="宋体"/>
                <w:color w:val="auto"/>
                <w:sz w:val="21"/>
                <w:szCs w:val="21"/>
                <w:highlight w:val="none"/>
              </w:rPr>
              <w:t>分</w:t>
            </w:r>
          </w:p>
          <w:p>
            <w:pPr>
              <w:rPr>
                <w:rFonts w:ascii="宋体" w:hAnsi="宋体" w:eastAsia="宋体"/>
                <w:color w:val="auto"/>
                <w:sz w:val="21"/>
                <w:szCs w:val="21"/>
                <w:highlight w:val="none"/>
              </w:rPr>
            </w:pPr>
            <w:r>
              <w:rPr>
                <w:rFonts w:ascii="宋体" w:hAnsi="宋体" w:eastAsia="宋体"/>
                <w:color w:val="auto"/>
                <w:sz w:val="21"/>
                <w:szCs w:val="21"/>
                <w:highlight w:val="none"/>
              </w:rPr>
              <w:t>第二个信封（报价文件）评分分值构成：</w:t>
            </w:r>
          </w:p>
          <w:p>
            <w:pPr>
              <w:rPr>
                <w:rFonts w:ascii="宋体" w:hAnsi="宋体" w:eastAsia="宋体"/>
                <w:color w:val="auto"/>
                <w:sz w:val="21"/>
                <w:szCs w:val="21"/>
                <w:highlight w:val="none"/>
              </w:rPr>
            </w:pPr>
            <w:r>
              <w:rPr>
                <w:rFonts w:hint="eastAsia" w:ascii="宋体" w:hAnsi="宋体" w:eastAsia="宋体"/>
                <w:color w:val="auto"/>
                <w:sz w:val="21"/>
                <w:szCs w:val="21"/>
                <w:highlight w:val="none"/>
              </w:rPr>
              <w:t>评标价：98.5分</w:t>
            </w:r>
          </w:p>
          <w:p>
            <w:pPr>
              <w:rPr>
                <w:rFonts w:ascii="宋体" w:hAnsi="宋体" w:eastAsia="宋体"/>
                <w:color w:val="auto"/>
                <w:sz w:val="21"/>
                <w:szCs w:val="21"/>
                <w:highlight w:val="none"/>
              </w:rPr>
            </w:pPr>
            <w:r>
              <w:rPr>
                <w:rFonts w:hint="eastAsia" w:ascii="宋体" w:hAnsi="宋体" w:eastAsia="宋体"/>
                <w:color w:val="auto"/>
                <w:sz w:val="21"/>
                <w:szCs w:val="21"/>
                <w:highlight w:val="none"/>
              </w:rPr>
              <w:t>信誉：1.5分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50" w:hRule="atLeast"/>
        </w:trPr>
        <w:tc>
          <w:tcPr>
            <w:tcW w:w="602" w:type="pct"/>
            <w:vAlign w:val="center"/>
          </w:tcPr>
          <w:p>
            <w:pPr>
              <w:jc w:val="center"/>
              <w:rPr>
                <w:rFonts w:ascii="宋体" w:hAnsi="宋体" w:eastAsia="宋体"/>
                <w:color w:val="auto"/>
                <w:sz w:val="21"/>
                <w:szCs w:val="21"/>
                <w:highlight w:val="none"/>
              </w:rPr>
            </w:pPr>
            <w:r>
              <w:rPr>
                <w:rFonts w:ascii="宋体" w:hAnsi="宋体" w:eastAsia="宋体"/>
                <w:color w:val="auto"/>
                <w:sz w:val="21"/>
                <w:szCs w:val="21"/>
                <w:highlight w:val="none"/>
              </w:rPr>
              <w:t>2.2.</w:t>
            </w:r>
            <w:r>
              <w:rPr>
                <w:rFonts w:hint="eastAsia" w:ascii="宋体" w:hAnsi="宋体" w:eastAsia="宋体"/>
                <w:color w:val="auto"/>
                <w:sz w:val="21"/>
                <w:szCs w:val="21"/>
                <w:highlight w:val="none"/>
              </w:rPr>
              <w:t>2</w:t>
            </w:r>
            <w:r>
              <w:rPr>
                <w:rFonts w:ascii="宋体" w:hAnsi="宋体" w:eastAsia="宋体"/>
                <w:color w:val="auto"/>
                <w:sz w:val="21"/>
                <w:szCs w:val="21"/>
                <w:highlight w:val="none"/>
              </w:rPr>
              <w:t>(1)</w:t>
            </w:r>
          </w:p>
        </w:tc>
        <w:tc>
          <w:tcPr>
            <w:tcW w:w="1159" w:type="pct"/>
            <w:vAlign w:val="center"/>
          </w:tcPr>
          <w:p>
            <w:pPr>
              <w:rPr>
                <w:rFonts w:ascii="宋体" w:hAnsi="宋体" w:eastAsia="宋体"/>
                <w:color w:val="auto"/>
                <w:sz w:val="21"/>
                <w:szCs w:val="21"/>
                <w:highlight w:val="none"/>
              </w:rPr>
            </w:pPr>
            <w:r>
              <w:rPr>
                <w:rFonts w:ascii="宋体" w:hAnsi="宋体" w:eastAsia="宋体"/>
                <w:color w:val="auto"/>
                <w:sz w:val="21"/>
                <w:szCs w:val="21"/>
                <w:highlight w:val="none"/>
              </w:rPr>
              <w:t>施工组织设计</w:t>
            </w:r>
          </w:p>
        </w:tc>
        <w:tc>
          <w:tcPr>
            <w:tcW w:w="3239" w:type="pct"/>
            <w:vAlign w:val="center"/>
          </w:tcPr>
          <w:p>
            <w:pPr>
              <w:rPr>
                <w:rFonts w:ascii="宋体" w:hAnsi="宋体" w:eastAsia="宋体"/>
                <w:color w:val="auto"/>
                <w:sz w:val="21"/>
                <w:szCs w:val="21"/>
                <w:highlight w:val="none"/>
              </w:rPr>
            </w:pPr>
            <w:r>
              <w:rPr>
                <w:rFonts w:ascii="宋体" w:hAnsi="宋体" w:eastAsia="宋体"/>
                <w:color w:val="auto"/>
                <w:sz w:val="21"/>
                <w:szCs w:val="21"/>
                <w:highlight w:val="none"/>
              </w:rPr>
              <w:t>_____分</w:t>
            </w:r>
          </w:p>
          <w:p>
            <w:pPr>
              <w:rPr>
                <w:rFonts w:ascii="宋体" w:hAnsi="宋体" w:eastAsia="宋体"/>
                <w:color w:val="auto"/>
                <w:sz w:val="21"/>
                <w:szCs w:val="21"/>
                <w:highlight w:val="none"/>
              </w:rPr>
            </w:pPr>
            <w:r>
              <w:rPr>
                <w:rFonts w:ascii="宋体" w:hAnsi="宋体" w:eastAsia="宋体"/>
                <w:color w:val="auto"/>
                <w:sz w:val="21"/>
                <w:szCs w:val="21"/>
                <w:highlight w:val="none"/>
              </w:rPr>
              <w:t>列明各评分因素细分项、分值与评分标准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90" w:hRule="atLeast"/>
        </w:trPr>
        <w:tc>
          <w:tcPr>
            <w:tcW w:w="602" w:type="pct"/>
            <w:vAlign w:val="center"/>
          </w:tcPr>
          <w:p>
            <w:pPr>
              <w:jc w:val="center"/>
              <w:rPr>
                <w:rFonts w:ascii="宋体" w:hAnsi="宋体" w:eastAsia="宋体"/>
                <w:color w:val="auto"/>
                <w:sz w:val="21"/>
                <w:szCs w:val="21"/>
                <w:highlight w:val="none"/>
              </w:rPr>
            </w:pPr>
            <w:r>
              <w:rPr>
                <w:rFonts w:ascii="宋体" w:hAnsi="宋体" w:eastAsia="宋体"/>
                <w:color w:val="auto"/>
                <w:sz w:val="21"/>
                <w:szCs w:val="21"/>
                <w:highlight w:val="none"/>
              </w:rPr>
              <w:t>2.2.</w:t>
            </w:r>
            <w:r>
              <w:rPr>
                <w:rFonts w:hint="eastAsia" w:ascii="宋体" w:hAnsi="宋体" w:eastAsia="宋体"/>
                <w:color w:val="auto"/>
                <w:sz w:val="21"/>
                <w:szCs w:val="21"/>
                <w:highlight w:val="none"/>
              </w:rPr>
              <w:t>2</w:t>
            </w:r>
            <w:r>
              <w:rPr>
                <w:rFonts w:ascii="宋体" w:hAnsi="宋体" w:eastAsia="宋体"/>
                <w:color w:val="auto"/>
                <w:sz w:val="21"/>
                <w:szCs w:val="21"/>
                <w:highlight w:val="none"/>
              </w:rPr>
              <w:t>(2)</w:t>
            </w:r>
          </w:p>
        </w:tc>
        <w:tc>
          <w:tcPr>
            <w:tcW w:w="1159" w:type="pct"/>
            <w:vAlign w:val="center"/>
          </w:tcPr>
          <w:p>
            <w:pPr>
              <w:rPr>
                <w:rFonts w:ascii="宋体" w:hAnsi="宋体" w:eastAsia="宋体"/>
                <w:color w:val="auto"/>
                <w:sz w:val="21"/>
                <w:szCs w:val="21"/>
                <w:highlight w:val="none"/>
              </w:rPr>
            </w:pPr>
            <w:r>
              <w:rPr>
                <w:rFonts w:hint="eastAsia" w:ascii="宋体" w:hAnsi="宋体" w:eastAsia="宋体"/>
                <w:color w:val="auto"/>
                <w:sz w:val="21"/>
                <w:szCs w:val="21"/>
                <w:highlight w:val="none"/>
              </w:rPr>
              <w:t>业绩</w:t>
            </w:r>
          </w:p>
        </w:tc>
        <w:tc>
          <w:tcPr>
            <w:tcW w:w="3239" w:type="pct"/>
            <w:vAlign w:val="center"/>
          </w:tcPr>
          <w:p>
            <w:pPr>
              <w:rPr>
                <w:rFonts w:ascii="宋体" w:hAnsi="宋体" w:eastAsia="宋体"/>
                <w:color w:val="auto"/>
                <w:sz w:val="21"/>
                <w:szCs w:val="21"/>
                <w:highlight w:val="none"/>
              </w:rPr>
            </w:pPr>
            <w:r>
              <w:rPr>
                <w:rFonts w:ascii="宋体" w:hAnsi="宋体" w:eastAsia="宋体"/>
                <w:color w:val="auto"/>
                <w:sz w:val="21"/>
                <w:szCs w:val="21"/>
                <w:highlight w:val="none"/>
              </w:rPr>
              <w:t>_____分</w:t>
            </w:r>
          </w:p>
          <w:p>
            <w:pPr>
              <w:rPr>
                <w:rFonts w:ascii="宋体" w:hAnsi="宋体" w:eastAsia="宋体"/>
                <w:color w:val="auto"/>
                <w:sz w:val="21"/>
                <w:szCs w:val="21"/>
                <w:highlight w:val="none"/>
              </w:rPr>
            </w:pPr>
            <w:r>
              <w:rPr>
                <w:rFonts w:ascii="宋体" w:hAnsi="宋体" w:eastAsia="宋体"/>
                <w:color w:val="auto"/>
                <w:sz w:val="21"/>
                <w:szCs w:val="21"/>
                <w:highlight w:val="none"/>
              </w:rPr>
              <w:t>列明各评分因素细分项、分值与评分标准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00" w:hRule="atLeast"/>
        </w:trPr>
        <w:tc>
          <w:tcPr>
            <w:tcW w:w="602" w:type="pct"/>
            <w:vAlign w:val="center"/>
          </w:tcPr>
          <w:p>
            <w:pPr>
              <w:jc w:val="center"/>
              <w:rPr>
                <w:rFonts w:ascii="宋体" w:hAnsi="宋体" w:eastAsia="宋体"/>
                <w:color w:val="auto"/>
                <w:sz w:val="21"/>
                <w:szCs w:val="21"/>
                <w:highlight w:val="none"/>
              </w:rPr>
            </w:pPr>
            <w:r>
              <w:rPr>
                <w:rFonts w:ascii="宋体" w:hAnsi="宋体" w:eastAsia="宋体"/>
                <w:color w:val="auto"/>
                <w:sz w:val="21"/>
                <w:szCs w:val="21"/>
                <w:highlight w:val="none"/>
              </w:rPr>
              <w:t>2.2.</w:t>
            </w:r>
            <w:r>
              <w:rPr>
                <w:rFonts w:hint="eastAsia" w:ascii="宋体" w:hAnsi="宋体" w:eastAsia="宋体"/>
                <w:color w:val="auto"/>
                <w:sz w:val="21"/>
                <w:szCs w:val="21"/>
                <w:highlight w:val="none"/>
              </w:rPr>
              <w:t>2</w:t>
            </w:r>
            <w:r>
              <w:rPr>
                <w:rFonts w:ascii="宋体" w:hAnsi="宋体" w:eastAsia="宋体"/>
                <w:color w:val="auto"/>
                <w:sz w:val="21"/>
                <w:szCs w:val="21"/>
                <w:highlight w:val="none"/>
              </w:rPr>
              <w:t>(3)</w:t>
            </w:r>
          </w:p>
        </w:tc>
        <w:tc>
          <w:tcPr>
            <w:tcW w:w="1159" w:type="pct"/>
            <w:vAlign w:val="center"/>
          </w:tcPr>
          <w:p>
            <w:pPr>
              <w:rPr>
                <w:rFonts w:ascii="宋体" w:hAnsi="宋体" w:eastAsia="宋体"/>
                <w:color w:val="auto"/>
                <w:sz w:val="21"/>
                <w:szCs w:val="21"/>
                <w:highlight w:val="none"/>
              </w:rPr>
            </w:pPr>
            <w:r>
              <w:rPr>
                <w:rFonts w:ascii="宋体" w:hAnsi="宋体" w:eastAsia="宋体"/>
                <w:color w:val="auto"/>
                <w:sz w:val="21"/>
                <w:szCs w:val="21"/>
                <w:highlight w:val="none"/>
              </w:rPr>
              <w:t>主要人员</w:t>
            </w:r>
          </w:p>
        </w:tc>
        <w:tc>
          <w:tcPr>
            <w:tcW w:w="3239" w:type="pct"/>
            <w:vAlign w:val="center"/>
          </w:tcPr>
          <w:p>
            <w:pPr>
              <w:rPr>
                <w:rFonts w:ascii="宋体" w:hAnsi="宋体" w:eastAsia="宋体"/>
                <w:color w:val="auto"/>
                <w:sz w:val="21"/>
                <w:szCs w:val="21"/>
                <w:highlight w:val="none"/>
              </w:rPr>
            </w:pPr>
            <w:r>
              <w:rPr>
                <w:rFonts w:ascii="宋体" w:hAnsi="宋体" w:eastAsia="宋体"/>
                <w:color w:val="auto"/>
                <w:sz w:val="21"/>
                <w:szCs w:val="21"/>
                <w:highlight w:val="none"/>
              </w:rPr>
              <w:t>_____分</w:t>
            </w:r>
          </w:p>
          <w:p>
            <w:pPr>
              <w:rPr>
                <w:rFonts w:ascii="宋体" w:hAnsi="宋体" w:eastAsia="宋体"/>
                <w:color w:val="auto"/>
                <w:sz w:val="21"/>
                <w:szCs w:val="21"/>
                <w:highlight w:val="none"/>
              </w:rPr>
            </w:pPr>
            <w:r>
              <w:rPr>
                <w:rFonts w:ascii="宋体" w:hAnsi="宋体" w:eastAsia="宋体"/>
                <w:color w:val="auto"/>
                <w:sz w:val="21"/>
                <w:szCs w:val="21"/>
                <w:highlight w:val="none"/>
              </w:rPr>
              <w:t>列明各评分因素细分项、分值与评分标准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53" w:hRule="atLeast"/>
        </w:trPr>
        <w:tc>
          <w:tcPr>
            <w:tcW w:w="602" w:type="pct"/>
            <w:vAlign w:val="center"/>
          </w:tcPr>
          <w:p>
            <w:pPr>
              <w:jc w:val="center"/>
              <w:rPr>
                <w:rFonts w:ascii="宋体" w:hAnsi="宋体" w:eastAsia="宋体"/>
                <w:color w:val="auto"/>
                <w:sz w:val="21"/>
                <w:szCs w:val="21"/>
                <w:highlight w:val="none"/>
              </w:rPr>
            </w:pPr>
            <w:r>
              <w:rPr>
                <w:rFonts w:ascii="宋体" w:hAnsi="宋体" w:eastAsia="宋体"/>
                <w:color w:val="auto"/>
                <w:sz w:val="21"/>
                <w:szCs w:val="21"/>
                <w:highlight w:val="none"/>
              </w:rPr>
              <w:t>2.2.</w:t>
            </w:r>
            <w:r>
              <w:rPr>
                <w:rFonts w:hint="eastAsia" w:ascii="宋体" w:hAnsi="宋体" w:eastAsia="宋体"/>
                <w:color w:val="auto"/>
                <w:sz w:val="21"/>
                <w:szCs w:val="21"/>
                <w:highlight w:val="none"/>
              </w:rPr>
              <w:t>2</w:t>
            </w:r>
            <w:r>
              <w:rPr>
                <w:rFonts w:ascii="宋体" w:hAnsi="宋体" w:eastAsia="宋体"/>
                <w:color w:val="auto"/>
                <w:sz w:val="21"/>
                <w:szCs w:val="21"/>
                <w:highlight w:val="none"/>
              </w:rPr>
              <w:t>(4)</w:t>
            </w:r>
          </w:p>
        </w:tc>
        <w:tc>
          <w:tcPr>
            <w:tcW w:w="1159" w:type="pct"/>
            <w:vAlign w:val="center"/>
          </w:tcPr>
          <w:p>
            <w:pPr>
              <w:rPr>
                <w:rFonts w:ascii="宋体" w:hAnsi="宋体" w:eastAsia="宋体"/>
                <w:color w:val="auto"/>
                <w:sz w:val="21"/>
                <w:szCs w:val="21"/>
                <w:highlight w:val="none"/>
              </w:rPr>
            </w:pPr>
            <w:r>
              <w:rPr>
                <w:rFonts w:hint="eastAsia" w:ascii="宋体" w:hAnsi="宋体" w:eastAsia="宋体"/>
                <w:color w:val="auto"/>
                <w:sz w:val="21"/>
                <w:szCs w:val="21"/>
                <w:highlight w:val="none"/>
              </w:rPr>
              <w:t>信誉</w:t>
            </w:r>
          </w:p>
        </w:tc>
        <w:tc>
          <w:tcPr>
            <w:tcW w:w="3239" w:type="pct"/>
            <w:vAlign w:val="center"/>
          </w:tcPr>
          <w:p>
            <w:pPr>
              <w:rPr>
                <w:rFonts w:ascii="宋体" w:hAnsi="宋体" w:eastAsia="宋体"/>
                <w:color w:val="auto"/>
                <w:sz w:val="21"/>
                <w:szCs w:val="21"/>
                <w:highlight w:val="none"/>
              </w:rPr>
            </w:pPr>
            <w:r>
              <w:rPr>
                <w:rFonts w:hint="eastAsia" w:ascii="宋体" w:hAnsi="宋体" w:eastAsia="宋体"/>
                <w:color w:val="auto"/>
                <w:sz w:val="21"/>
                <w:szCs w:val="21"/>
                <w:highlight w:val="none"/>
              </w:rPr>
              <w:t>1.5</w:t>
            </w:r>
            <w:r>
              <w:rPr>
                <w:rFonts w:ascii="宋体" w:hAnsi="宋体" w:eastAsia="宋体"/>
                <w:color w:val="auto"/>
                <w:sz w:val="21"/>
                <w:szCs w:val="21"/>
                <w:highlight w:val="none"/>
              </w:rPr>
              <w:t>分</w:t>
            </w:r>
          </w:p>
          <w:p>
            <w:pPr>
              <w:rPr>
                <w:rFonts w:ascii="宋体" w:hAnsi="宋体" w:eastAsia="宋体"/>
                <w:color w:val="auto"/>
                <w:sz w:val="21"/>
                <w:szCs w:val="21"/>
                <w:highlight w:val="none"/>
              </w:rPr>
            </w:pPr>
            <w:r>
              <w:rPr>
                <w:rFonts w:hint="eastAsia" w:ascii="宋体" w:hAnsi="宋体" w:eastAsia="宋体"/>
                <w:color w:val="auto"/>
                <w:sz w:val="21"/>
                <w:szCs w:val="21"/>
                <w:highlight w:val="none"/>
              </w:rPr>
              <w:t>参照技术通过制的合理低价法的评分项。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48" w:hRule="atLeast"/>
        </w:trPr>
        <w:tc>
          <w:tcPr>
            <w:tcW w:w="602" w:type="pct"/>
            <w:vAlign w:val="center"/>
          </w:tcPr>
          <w:p>
            <w:pPr>
              <w:jc w:val="center"/>
              <w:rPr>
                <w:rFonts w:ascii="宋体" w:hAnsi="宋体" w:eastAsia="宋体"/>
                <w:color w:val="auto"/>
                <w:sz w:val="21"/>
                <w:szCs w:val="21"/>
                <w:highlight w:val="none"/>
              </w:rPr>
            </w:pPr>
            <w:r>
              <w:rPr>
                <w:rFonts w:ascii="宋体" w:hAnsi="宋体" w:eastAsia="宋体"/>
                <w:color w:val="auto"/>
                <w:sz w:val="21"/>
                <w:szCs w:val="21"/>
                <w:highlight w:val="none"/>
              </w:rPr>
              <w:t>2.2.</w:t>
            </w:r>
            <w:r>
              <w:rPr>
                <w:rFonts w:hint="eastAsia" w:ascii="宋体" w:hAnsi="宋体" w:eastAsia="宋体"/>
                <w:color w:val="auto"/>
                <w:sz w:val="21"/>
                <w:szCs w:val="21"/>
                <w:highlight w:val="none"/>
              </w:rPr>
              <w:t>3</w:t>
            </w:r>
          </w:p>
        </w:tc>
        <w:tc>
          <w:tcPr>
            <w:tcW w:w="1159" w:type="pct"/>
            <w:vAlign w:val="center"/>
          </w:tcPr>
          <w:p>
            <w:pPr>
              <w:rPr>
                <w:rFonts w:ascii="宋体" w:hAnsi="宋体" w:eastAsia="宋体"/>
                <w:color w:val="auto"/>
                <w:sz w:val="21"/>
                <w:szCs w:val="21"/>
                <w:highlight w:val="none"/>
              </w:rPr>
            </w:pPr>
            <w:r>
              <w:rPr>
                <w:rFonts w:hint="eastAsia" w:ascii="宋体" w:hAnsi="宋体" w:eastAsia="宋体"/>
                <w:color w:val="auto"/>
                <w:sz w:val="21"/>
                <w:szCs w:val="21"/>
                <w:highlight w:val="none"/>
              </w:rPr>
              <w:t>第二个信封详细评审标准</w:t>
            </w:r>
          </w:p>
        </w:tc>
        <w:tc>
          <w:tcPr>
            <w:tcW w:w="3239" w:type="pct"/>
            <w:vAlign w:val="center"/>
          </w:tcPr>
          <w:p>
            <w:pPr>
              <w:rPr>
                <w:rFonts w:ascii="宋体" w:hAnsi="宋体" w:eastAsia="宋体"/>
                <w:color w:val="auto"/>
                <w:sz w:val="21"/>
                <w:szCs w:val="21"/>
                <w:highlight w:val="none"/>
              </w:rPr>
            </w:pPr>
            <w:r>
              <w:rPr>
                <w:rFonts w:ascii="宋体" w:hAnsi="宋体" w:eastAsia="宋体"/>
                <w:color w:val="auto"/>
                <w:sz w:val="21"/>
                <w:szCs w:val="21"/>
                <w:highlight w:val="none"/>
              </w:rPr>
              <w:t>评标基准价的计算：</w:t>
            </w:r>
          </w:p>
          <w:p>
            <w:pPr>
              <w:rPr>
                <w:rFonts w:ascii="宋体" w:hAnsi="宋体" w:eastAsia="宋体"/>
                <w:color w:val="auto"/>
                <w:sz w:val="21"/>
                <w:szCs w:val="21"/>
                <w:highlight w:val="none"/>
              </w:rPr>
            </w:pPr>
            <w:r>
              <w:rPr>
                <w:rFonts w:ascii="宋体" w:hAnsi="宋体" w:eastAsia="宋体"/>
                <w:color w:val="auto"/>
                <w:sz w:val="21"/>
                <w:szCs w:val="21"/>
                <w:highlight w:val="none"/>
              </w:rPr>
              <w:t>评标基准价由评标委员会计算、复核并签字确认。除计算差错外，确认后的评标基准价在本次招标期间保持不变。计算差错，仅限于以下两种情况：（1）纯算术性四则运算差错；（2）未按约定的计算方法，多计或少计投标人报价。由于评标差错，导致否决投标错误，重新评标纠正等其他情况，不属于计算差错。</w:t>
            </w:r>
          </w:p>
          <w:p>
            <w:pPr>
              <w:rPr>
                <w:rFonts w:ascii="宋体" w:hAnsi="宋体" w:eastAsia="宋体"/>
                <w:color w:val="auto"/>
                <w:sz w:val="21"/>
                <w:szCs w:val="21"/>
                <w:highlight w:val="none"/>
              </w:rPr>
            </w:pPr>
            <w:r>
              <w:rPr>
                <w:rFonts w:ascii="宋体" w:hAnsi="宋体" w:eastAsia="宋体"/>
                <w:color w:val="auto"/>
                <w:sz w:val="21"/>
                <w:szCs w:val="21"/>
                <w:highlight w:val="none"/>
              </w:rPr>
              <w:t>(1)评标价的确定：</w:t>
            </w:r>
          </w:p>
          <w:p>
            <w:pPr>
              <w:rPr>
                <w:rFonts w:ascii="宋体" w:hAnsi="宋体" w:eastAsia="宋体"/>
                <w:color w:val="auto"/>
                <w:sz w:val="21"/>
                <w:szCs w:val="21"/>
                <w:highlight w:val="none"/>
              </w:rPr>
            </w:pPr>
            <w:r>
              <w:rPr>
                <w:rFonts w:ascii="宋体" w:hAnsi="宋体" w:eastAsia="宋体"/>
                <w:color w:val="auto"/>
                <w:sz w:val="21"/>
                <w:szCs w:val="21"/>
                <w:highlight w:val="none"/>
              </w:rPr>
              <w:t>评标价=报价函的文字报价</w:t>
            </w:r>
          </w:p>
          <w:p>
            <w:pPr>
              <w:rPr>
                <w:rFonts w:ascii="宋体" w:hAnsi="宋体" w:eastAsia="宋体"/>
                <w:color w:val="auto"/>
                <w:sz w:val="21"/>
                <w:szCs w:val="21"/>
                <w:highlight w:val="none"/>
              </w:rPr>
            </w:pPr>
            <w:r>
              <w:rPr>
                <w:rFonts w:ascii="宋体" w:hAnsi="宋体" w:eastAsia="宋体"/>
                <w:color w:val="auto"/>
                <w:sz w:val="21"/>
                <w:szCs w:val="21"/>
                <w:highlight w:val="none"/>
              </w:rPr>
              <w:t>(2)</w:t>
            </w:r>
            <w:r>
              <w:rPr>
                <w:rFonts w:hint="eastAsia" w:ascii="宋体" w:hAnsi="宋体" w:eastAsia="宋体"/>
                <w:color w:val="auto"/>
                <w:sz w:val="21"/>
                <w:szCs w:val="21"/>
                <w:highlight w:val="none"/>
              </w:rPr>
              <w:t xml:space="preserve"> 评标基准价按以下公式计算</w:t>
            </w:r>
          </w:p>
          <w:p>
            <w:pPr>
              <w:rPr>
                <w:rFonts w:ascii="宋体" w:hAnsi="宋体" w:eastAsia="宋体"/>
                <w:color w:val="auto"/>
                <w:sz w:val="21"/>
                <w:szCs w:val="21"/>
                <w:highlight w:val="none"/>
              </w:rPr>
            </w:pPr>
            <w:r>
              <w:rPr>
                <w:rFonts w:ascii="宋体" w:hAnsi="宋体" w:eastAsia="宋体"/>
                <w:color w:val="auto"/>
                <w:sz w:val="21"/>
                <w:szCs w:val="21"/>
                <w:highlight w:val="none"/>
              </w:rPr>
              <w:t>C=（A×K+B×（1-K））（100-i）/100</w:t>
            </w:r>
          </w:p>
          <w:p>
            <w:pPr>
              <w:rPr>
                <w:rFonts w:ascii="宋体" w:hAnsi="宋体" w:eastAsia="宋体"/>
                <w:color w:val="auto"/>
                <w:sz w:val="21"/>
                <w:szCs w:val="21"/>
                <w:highlight w:val="none"/>
              </w:rPr>
            </w:pPr>
            <w:r>
              <w:rPr>
                <w:rFonts w:ascii="宋体" w:hAnsi="宋体" w:eastAsia="宋体"/>
                <w:color w:val="auto"/>
                <w:sz w:val="21"/>
                <w:szCs w:val="21"/>
                <w:highlight w:val="none"/>
              </w:rPr>
              <w:t>式中：</w:t>
            </w:r>
          </w:p>
          <w:p>
            <w:pPr>
              <w:rPr>
                <w:rFonts w:ascii="宋体" w:hAnsi="宋体" w:eastAsia="宋体"/>
                <w:color w:val="auto"/>
                <w:sz w:val="21"/>
                <w:szCs w:val="21"/>
                <w:highlight w:val="none"/>
              </w:rPr>
            </w:pPr>
            <w:r>
              <w:rPr>
                <w:rFonts w:ascii="宋体" w:hAnsi="宋体" w:eastAsia="宋体"/>
                <w:color w:val="auto"/>
                <w:sz w:val="21"/>
                <w:szCs w:val="21"/>
                <w:highlight w:val="none"/>
              </w:rPr>
              <w:t>C为评标基准价</w:t>
            </w:r>
          </w:p>
          <w:p>
            <w:pPr>
              <w:rPr>
                <w:rFonts w:ascii="宋体" w:hAnsi="宋体" w:eastAsia="宋体"/>
                <w:color w:val="auto"/>
                <w:sz w:val="21"/>
                <w:szCs w:val="21"/>
                <w:highlight w:val="none"/>
              </w:rPr>
            </w:pPr>
            <w:r>
              <w:rPr>
                <w:rFonts w:ascii="宋体" w:hAnsi="宋体" w:eastAsia="宋体"/>
                <w:color w:val="auto"/>
                <w:sz w:val="21"/>
                <w:szCs w:val="21"/>
                <w:highlight w:val="none"/>
              </w:rPr>
              <w:t>A为招标人的最高投标限价（最高投标限价的确定见投标人须知前附表3.2.8项规定）；</w:t>
            </w:r>
          </w:p>
          <w:p>
            <w:pPr>
              <w:rPr>
                <w:rFonts w:ascii="宋体" w:hAnsi="宋体" w:eastAsia="宋体"/>
                <w:color w:val="auto"/>
                <w:sz w:val="21"/>
                <w:szCs w:val="21"/>
                <w:highlight w:val="none"/>
              </w:rPr>
            </w:pPr>
            <w:r>
              <w:rPr>
                <w:rFonts w:ascii="宋体" w:hAnsi="宋体" w:eastAsia="宋体"/>
                <w:color w:val="auto"/>
                <w:sz w:val="21"/>
                <w:szCs w:val="21"/>
                <w:highlight w:val="none"/>
              </w:rPr>
              <w:t>K为复合系数（开标时从0.30、0.35、0.40三值中随机抽取一个值）；i为下浮系数（开标时从__、__、__三个连续值</w:t>
            </w:r>
            <w:r>
              <w:rPr>
                <w:rFonts w:ascii="宋体" w:hAnsi="宋体" w:eastAsia="宋体"/>
                <w:color w:val="auto"/>
                <w:sz w:val="21"/>
                <w:szCs w:val="21"/>
                <w:highlight w:val="none"/>
                <w:vertAlign w:val="superscript"/>
              </w:rPr>
              <w:footnoteReference w:id="0"/>
            </w:r>
            <w:r>
              <w:rPr>
                <w:rFonts w:ascii="宋体" w:hAnsi="宋体" w:eastAsia="宋体"/>
                <w:color w:val="auto"/>
                <w:sz w:val="21"/>
                <w:szCs w:val="21"/>
                <w:highlight w:val="none"/>
              </w:rPr>
              <w:t>中随机抽取一个值）。</w:t>
            </w:r>
          </w:p>
          <w:p>
            <w:pPr>
              <w:rPr>
                <w:rFonts w:ascii="宋体" w:hAnsi="宋体" w:eastAsia="宋体"/>
                <w:color w:val="auto"/>
                <w:sz w:val="21"/>
                <w:szCs w:val="21"/>
                <w:highlight w:val="none"/>
              </w:rPr>
            </w:pPr>
            <w:r>
              <w:rPr>
                <w:rFonts w:ascii="宋体" w:hAnsi="宋体" w:eastAsia="宋体"/>
                <w:color w:val="auto"/>
                <w:sz w:val="21"/>
                <w:szCs w:val="21"/>
                <w:highlight w:val="none"/>
              </w:rPr>
              <w:t>B值：</w:t>
            </w:r>
            <w:r>
              <w:rPr>
                <w:rFonts w:hint="eastAsia" w:ascii="宋体" w:hAnsi="宋体" w:eastAsia="宋体"/>
                <w:color w:val="auto"/>
                <w:sz w:val="21"/>
                <w:szCs w:val="21"/>
                <w:highlight w:val="none"/>
              </w:rPr>
              <w:t>第一个信封得分排名在招标文件规定数量内且通过第二个信封初步评审的</w:t>
            </w:r>
            <w:r>
              <w:rPr>
                <w:rFonts w:ascii="宋体" w:hAnsi="宋体" w:eastAsia="宋体"/>
                <w:color w:val="auto"/>
                <w:sz w:val="21"/>
                <w:szCs w:val="21"/>
                <w:highlight w:val="none"/>
              </w:rPr>
              <w:t>投标人评标价</w:t>
            </w:r>
            <w:r>
              <w:rPr>
                <w:rFonts w:hint="eastAsia" w:ascii="宋体" w:hAnsi="宋体" w:eastAsia="宋体"/>
                <w:color w:val="auto"/>
                <w:sz w:val="21"/>
                <w:szCs w:val="21"/>
                <w:highlight w:val="none"/>
              </w:rPr>
              <w:t>，去掉一个最高值和一个最低值后的算术平均值（如果参与评标价平均值计算的有效投标人少于</w:t>
            </w:r>
            <w:r>
              <w:rPr>
                <w:rFonts w:ascii="宋体" w:hAnsi="宋体" w:eastAsia="宋体"/>
                <w:color w:val="auto"/>
                <w:sz w:val="21"/>
                <w:szCs w:val="21"/>
                <w:highlight w:val="none"/>
              </w:rPr>
              <w:t>5家，则计算评标价平均值时不去掉最高值和最低值）</w:t>
            </w:r>
            <w:r>
              <w:rPr>
                <w:rFonts w:hint="eastAsia" w:ascii="宋体" w:hAnsi="宋体" w:eastAsia="宋体"/>
                <w:color w:val="auto"/>
                <w:sz w:val="21"/>
                <w:szCs w:val="21"/>
                <w:highlight w:val="none"/>
              </w:rPr>
              <w:t>。</w:t>
            </w:r>
          </w:p>
          <w:p>
            <w:pPr>
              <w:rPr>
                <w:rFonts w:ascii="宋体" w:hAnsi="宋体" w:eastAsia="宋体"/>
                <w:color w:val="auto"/>
                <w:sz w:val="21"/>
                <w:szCs w:val="21"/>
                <w:highlight w:val="none"/>
              </w:rPr>
            </w:pPr>
            <w:r>
              <w:rPr>
                <w:rFonts w:ascii="宋体" w:hAnsi="宋体" w:eastAsia="宋体"/>
                <w:color w:val="auto"/>
                <w:sz w:val="21"/>
                <w:szCs w:val="21"/>
                <w:highlight w:val="none"/>
              </w:rPr>
              <w:t>偏差率=100%×（投标人评标价－评标基准价）／评标基准价</w:t>
            </w:r>
          </w:p>
          <w:p>
            <w:pPr>
              <w:rPr>
                <w:rFonts w:ascii="宋体" w:hAnsi="宋体" w:eastAsia="宋体"/>
                <w:color w:val="auto"/>
                <w:sz w:val="21"/>
                <w:szCs w:val="21"/>
                <w:highlight w:val="none"/>
              </w:rPr>
            </w:pPr>
            <w:r>
              <w:rPr>
                <w:rFonts w:ascii="宋体" w:hAnsi="宋体" w:eastAsia="宋体"/>
                <w:color w:val="auto"/>
                <w:sz w:val="21"/>
                <w:szCs w:val="21"/>
                <w:highlight w:val="none"/>
              </w:rPr>
              <w:t>评标价（</w:t>
            </w:r>
            <w:r>
              <w:rPr>
                <w:rFonts w:hint="eastAsia" w:ascii="宋体" w:hAnsi="宋体" w:eastAsia="宋体"/>
                <w:color w:val="auto"/>
                <w:sz w:val="21"/>
                <w:szCs w:val="21"/>
                <w:highlight w:val="none"/>
                <w:u w:val="single"/>
              </w:rPr>
              <w:t>100或98.5</w:t>
            </w:r>
            <w:r>
              <w:rPr>
                <w:rFonts w:ascii="宋体" w:hAnsi="宋体" w:eastAsia="宋体"/>
                <w:color w:val="auto"/>
                <w:sz w:val="21"/>
                <w:szCs w:val="21"/>
                <w:highlight w:val="none"/>
              </w:rPr>
              <w:t>分）</w:t>
            </w:r>
          </w:p>
          <w:p>
            <w:pPr>
              <w:rPr>
                <w:rFonts w:ascii="宋体" w:hAnsi="宋体" w:eastAsia="宋体"/>
                <w:color w:val="auto"/>
                <w:sz w:val="21"/>
                <w:szCs w:val="21"/>
                <w:highlight w:val="none"/>
              </w:rPr>
            </w:pPr>
            <w:r>
              <w:rPr>
                <w:rFonts w:ascii="宋体" w:hAnsi="宋体" w:eastAsia="宋体"/>
                <w:color w:val="auto"/>
                <w:sz w:val="21"/>
                <w:szCs w:val="21"/>
                <w:highlight w:val="none"/>
              </w:rPr>
              <w:t>投标人评标价得分的计算（保留两位小数）</w:t>
            </w:r>
          </w:p>
          <w:p>
            <w:pPr>
              <w:rPr>
                <w:rFonts w:ascii="宋体" w:hAnsi="宋体" w:eastAsia="宋体"/>
                <w:color w:val="auto"/>
                <w:sz w:val="21"/>
                <w:szCs w:val="21"/>
                <w:highlight w:val="none"/>
              </w:rPr>
            </w:pPr>
            <w:r>
              <w:rPr>
                <w:rFonts w:ascii="宋体" w:hAnsi="宋体" w:eastAsia="宋体"/>
                <w:color w:val="auto"/>
                <w:sz w:val="21"/>
                <w:szCs w:val="21"/>
                <w:highlight w:val="none"/>
              </w:rPr>
              <w:t>(1) 如果投标人的评标价＞评标基准价，则评标价得分＝</w:t>
            </w:r>
            <w:r>
              <w:rPr>
                <w:rFonts w:hint="eastAsia" w:ascii="宋体" w:hAnsi="宋体" w:eastAsia="宋体"/>
                <w:color w:val="auto"/>
                <w:sz w:val="21"/>
                <w:szCs w:val="21"/>
                <w:highlight w:val="none"/>
                <w:u w:val="single"/>
              </w:rPr>
              <w:t xml:space="preserve">   </w:t>
            </w:r>
            <w:r>
              <w:rPr>
                <w:rFonts w:ascii="宋体" w:hAnsi="宋体" w:eastAsia="宋体"/>
                <w:color w:val="auto"/>
                <w:sz w:val="21"/>
                <w:szCs w:val="21"/>
                <w:highlight w:val="none"/>
              </w:rPr>
              <w:t>－偏差率×100×E</w:t>
            </w:r>
            <w:r>
              <w:rPr>
                <w:rFonts w:ascii="宋体" w:hAnsi="宋体" w:eastAsia="宋体"/>
                <w:color w:val="auto"/>
                <w:sz w:val="21"/>
                <w:szCs w:val="21"/>
                <w:highlight w:val="none"/>
                <w:vertAlign w:val="subscript"/>
              </w:rPr>
              <w:t>1</w:t>
            </w:r>
            <w:r>
              <w:rPr>
                <w:rFonts w:ascii="宋体" w:hAnsi="宋体" w:eastAsia="宋体"/>
                <w:color w:val="auto"/>
                <w:sz w:val="21"/>
                <w:szCs w:val="21"/>
                <w:highlight w:val="none"/>
              </w:rPr>
              <w:t xml:space="preserve">； </w:t>
            </w:r>
          </w:p>
          <w:p>
            <w:pPr>
              <w:rPr>
                <w:rFonts w:ascii="宋体" w:hAnsi="宋体" w:eastAsia="宋体"/>
                <w:color w:val="auto"/>
                <w:sz w:val="21"/>
                <w:szCs w:val="21"/>
                <w:highlight w:val="none"/>
              </w:rPr>
            </w:pPr>
            <w:r>
              <w:rPr>
                <w:rFonts w:ascii="宋体" w:hAnsi="宋体" w:eastAsia="宋体"/>
                <w:color w:val="auto"/>
                <w:sz w:val="21"/>
                <w:szCs w:val="21"/>
                <w:highlight w:val="none"/>
              </w:rPr>
              <w:t>(2) 如果投标人的评标价≤评标基准价，则评标价得分＝</w:t>
            </w:r>
            <w:r>
              <w:rPr>
                <w:rFonts w:hint="eastAsia" w:ascii="宋体" w:hAnsi="宋体" w:eastAsia="宋体"/>
                <w:color w:val="auto"/>
                <w:sz w:val="21"/>
                <w:szCs w:val="21"/>
                <w:highlight w:val="none"/>
                <w:u w:val="single"/>
              </w:rPr>
              <w:t xml:space="preserve">   </w:t>
            </w:r>
            <w:r>
              <w:rPr>
                <w:rFonts w:ascii="宋体" w:hAnsi="宋体" w:eastAsia="宋体"/>
                <w:color w:val="auto"/>
                <w:sz w:val="21"/>
                <w:szCs w:val="21"/>
                <w:highlight w:val="none"/>
              </w:rPr>
              <w:t>＋偏差率×100×E</w:t>
            </w:r>
            <w:r>
              <w:rPr>
                <w:rFonts w:ascii="宋体" w:hAnsi="宋体" w:eastAsia="宋体"/>
                <w:color w:val="auto"/>
                <w:sz w:val="21"/>
                <w:szCs w:val="21"/>
                <w:highlight w:val="none"/>
                <w:vertAlign w:val="subscript"/>
              </w:rPr>
              <w:t>2</w:t>
            </w:r>
            <w:r>
              <w:rPr>
                <w:rFonts w:ascii="宋体" w:hAnsi="宋体" w:eastAsia="宋体"/>
                <w:color w:val="auto"/>
                <w:sz w:val="21"/>
                <w:szCs w:val="21"/>
                <w:highlight w:val="none"/>
              </w:rPr>
              <w:t>。</w:t>
            </w:r>
          </w:p>
          <w:p>
            <w:pPr>
              <w:rPr>
                <w:rFonts w:ascii="宋体" w:hAnsi="宋体" w:eastAsia="宋体"/>
                <w:color w:val="auto"/>
                <w:sz w:val="21"/>
                <w:szCs w:val="21"/>
                <w:highlight w:val="none"/>
              </w:rPr>
            </w:pPr>
            <w:r>
              <w:rPr>
                <w:rFonts w:ascii="宋体" w:hAnsi="宋体" w:eastAsia="宋体"/>
                <w:color w:val="auto"/>
                <w:sz w:val="21"/>
                <w:szCs w:val="21"/>
                <w:highlight w:val="none"/>
              </w:rPr>
              <w:t>其中：E</w:t>
            </w:r>
            <w:r>
              <w:rPr>
                <w:rFonts w:ascii="宋体" w:hAnsi="宋体" w:eastAsia="宋体"/>
                <w:color w:val="auto"/>
                <w:sz w:val="21"/>
                <w:szCs w:val="21"/>
                <w:highlight w:val="none"/>
                <w:vertAlign w:val="subscript"/>
              </w:rPr>
              <w:t>1</w:t>
            </w:r>
            <w:r>
              <w:rPr>
                <w:rFonts w:ascii="宋体" w:hAnsi="宋体" w:eastAsia="宋体"/>
                <w:color w:val="auto"/>
                <w:sz w:val="21"/>
                <w:szCs w:val="21"/>
                <w:highlight w:val="none"/>
              </w:rPr>
              <w:t>＝</w:t>
            </w:r>
            <w:r>
              <w:rPr>
                <w:rFonts w:hint="eastAsia" w:ascii="宋体" w:hAnsi="宋体" w:eastAsia="宋体"/>
                <w:color w:val="auto"/>
                <w:sz w:val="21"/>
                <w:szCs w:val="21"/>
                <w:highlight w:val="none"/>
                <w:u w:val="single"/>
              </w:rPr>
              <w:t>1.5</w:t>
            </w:r>
            <w:r>
              <w:rPr>
                <w:rFonts w:ascii="宋体" w:hAnsi="宋体" w:eastAsia="宋体"/>
                <w:color w:val="auto"/>
                <w:sz w:val="21"/>
                <w:szCs w:val="21"/>
                <w:highlight w:val="none"/>
              </w:rPr>
              <w:t>；E</w:t>
            </w:r>
            <w:r>
              <w:rPr>
                <w:rFonts w:ascii="宋体" w:hAnsi="宋体" w:eastAsia="宋体"/>
                <w:color w:val="auto"/>
                <w:sz w:val="21"/>
                <w:szCs w:val="21"/>
                <w:highlight w:val="none"/>
                <w:vertAlign w:val="subscript"/>
              </w:rPr>
              <w:t>2</w:t>
            </w:r>
            <w:r>
              <w:rPr>
                <w:rFonts w:ascii="宋体" w:hAnsi="宋体" w:eastAsia="宋体"/>
                <w:color w:val="auto"/>
                <w:sz w:val="21"/>
                <w:szCs w:val="21"/>
                <w:highlight w:val="none"/>
              </w:rPr>
              <w:t>＝</w:t>
            </w:r>
            <w:r>
              <w:rPr>
                <w:rFonts w:hint="eastAsia" w:ascii="宋体" w:hAnsi="宋体" w:eastAsia="宋体"/>
                <w:color w:val="auto"/>
                <w:sz w:val="21"/>
                <w:szCs w:val="21"/>
                <w:highlight w:val="none"/>
                <w:u w:val="single"/>
              </w:rPr>
              <w:t>1.0</w:t>
            </w:r>
            <w:r>
              <w:rPr>
                <w:rFonts w:ascii="宋体" w:hAnsi="宋体" w:eastAsia="宋体"/>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48" w:hRule="atLeast"/>
        </w:trPr>
        <w:tc>
          <w:tcPr>
            <w:tcW w:w="602" w:type="pct"/>
            <w:vAlign w:val="center"/>
          </w:tcPr>
          <w:p>
            <w:pPr>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3.2.4</w:t>
            </w:r>
          </w:p>
        </w:tc>
        <w:tc>
          <w:tcPr>
            <w:tcW w:w="1159" w:type="pct"/>
            <w:vAlign w:val="center"/>
          </w:tcPr>
          <w:p>
            <w:pPr>
              <w:rPr>
                <w:rFonts w:ascii="宋体" w:hAnsi="宋体" w:eastAsia="宋体"/>
                <w:color w:val="auto"/>
                <w:sz w:val="21"/>
                <w:szCs w:val="21"/>
                <w:highlight w:val="none"/>
              </w:rPr>
            </w:pPr>
            <w:r>
              <w:rPr>
                <w:rFonts w:hint="eastAsia" w:ascii="宋体" w:hAnsi="宋体" w:eastAsia="宋体"/>
                <w:color w:val="auto"/>
                <w:sz w:val="21"/>
                <w:szCs w:val="21"/>
                <w:highlight w:val="none"/>
              </w:rPr>
              <w:t>第二个信封的评审范围</w:t>
            </w:r>
          </w:p>
        </w:tc>
        <w:tc>
          <w:tcPr>
            <w:tcW w:w="3239" w:type="pct"/>
            <w:vAlign w:val="center"/>
          </w:tcPr>
          <w:p>
            <w:pPr>
              <w:rPr>
                <w:rFonts w:ascii="宋体" w:hAnsi="宋体" w:eastAsia="宋体"/>
                <w:color w:val="auto"/>
                <w:sz w:val="21"/>
                <w:szCs w:val="21"/>
                <w:highlight w:val="none"/>
              </w:rPr>
            </w:pPr>
            <w:r>
              <w:rPr>
                <w:rFonts w:hint="eastAsia" w:ascii="宋体" w:hAnsi="宋体" w:eastAsia="宋体"/>
                <w:color w:val="auto"/>
                <w:sz w:val="21"/>
                <w:szCs w:val="21"/>
                <w:highlight w:val="none"/>
              </w:rPr>
              <w:t>按照投标人的商务和技术文件得分由高到低排序，选择前</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名（一般为8</w:t>
            </w:r>
            <w:r>
              <w:rPr>
                <w:rFonts w:hint="eastAsia" w:ascii="仿宋_GB2312" w:hAnsi="仿宋_GB2312" w:cs="仿宋_GB2312"/>
                <w:color w:val="auto"/>
                <w:sz w:val="21"/>
                <w:szCs w:val="21"/>
                <w:highlight w:val="none"/>
              </w:rPr>
              <w:t>～</w:t>
            </w:r>
            <w:r>
              <w:rPr>
                <w:rFonts w:hint="eastAsia" w:ascii="宋体" w:hAnsi="宋体" w:eastAsia="宋体"/>
                <w:color w:val="auto"/>
                <w:sz w:val="21"/>
                <w:szCs w:val="21"/>
                <w:highlight w:val="none"/>
              </w:rPr>
              <w:t>12名）进入第二个信封的评审范围（通过第一个信封评审家数少于招标文件规定数量的，全部进入第二个信封评审范围）。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8" w:hRule="atLeast"/>
        </w:trPr>
        <w:tc>
          <w:tcPr>
            <w:tcW w:w="5000" w:type="pct"/>
            <w:gridSpan w:val="3"/>
            <w:vAlign w:val="center"/>
          </w:tcPr>
          <w:p>
            <w:pPr>
              <w:jc w:val="left"/>
              <w:rPr>
                <w:rFonts w:ascii="宋体" w:hAnsi="宋体" w:eastAsia="宋体"/>
                <w:color w:val="auto"/>
                <w:sz w:val="21"/>
                <w:szCs w:val="21"/>
                <w:highlight w:val="none"/>
              </w:rPr>
            </w:pPr>
            <w:r>
              <w:rPr>
                <w:rFonts w:ascii="宋体" w:hAnsi="宋体" w:eastAsia="宋体"/>
                <w:color w:val="auto"/>
                <w:sz w:val="21"/>
                <w:szCs w:val="21"/>
                <w:highlight w:val="none"/>
              </w:rPr>
              <w:t>需要补充的其他内容：</w:t>
            </w:r>
          </w:p>
          <w:p>
            <w:pPr>
              <w:jc w:val="left"/>
              <w:rPr>
                <w:rFonts w:ascii="宋体" w:hAnsi="宋体" w:eastAsia="宋体"/>
                <w:color w:val="auto"/>
                <w:sz w:val="21"/>
                <w:szCs w:val="21"/>
                <w:highlight w:val="none"/>
              </w:rPr>
            </w:pPr>
          </w:p>
          <w:p>
            <w:pPr>
              <w:jc w:val="left"/>
              <w:rPr>
                <w:rFonts w:ascii="宋体" w:hAnsi="宋体" w:eastAsia="宋体"/>
                <w:color w:val="auto"/>
                <w:sz w:val="21"/>
                <w:szCs w:val="21"/>
                <w:highlight w:val="none"/>
              </w:rPr>
            </w:pPr>
            <w:r>
              <w:rPr>
                <w:rFonts w:ascii="宋体" w:hAnsi="宋体" w:eastAsia="宋体"/>
                <w:color w:val="auto"/>
                <w:sz w:val="21"/>
                <w:szCs w:val="21"/>
                <w:highlight w:val="none"/>
              </w:rPr>
              <w:t>__________________________________________________________</w:t>
            </w:r>
          </w:p>
        </w:tc>
      </w:tr>
    </w:tbl>
    <w:p>
      <w:pPr>
        <w:rPr>
          <w:rFonts w:ascii="宋体" w:hAnsi="宋体" w:eastAsia="宋体"/>
          <w:color w:val="auto"/>
          <w:sz w:val="21"/>
          <w:szCs w:val="21"/>
          <w:highlight w:val="none"/>
        </w:rPr>
      </w:pPr>
    </w:p>
    <w:p>
      <w:pPr>
        <w:widowControl/>
        <w:jc w:val="left"/>
        <w:rPr>
          <w:rFonts w:ascii="宋体" w:hAnsi="宋体" w:eastAsia="宋体"/>
          <w:color w:val="auto"/>
          <w:sz w:val="21"/>
          <w:szCs w:val="21"/>
          <w:highlight w:val="none"/>
        </w:rPr>
      </w:pPr>
      <w:r>
        <w:rPr>
          <w:rFonts w:ascii="宋体" w:hAnsi="宋体" w:eastAsia="宋体"/>
          <w:color w:val="auto"/>
          <w:sz w:val="21"/>
          <w:szCs w:val="21"/>
          <w:highlight w:val="none"/>
        </w:rPr>
        <w:br w:type="page"/>
      </w:r>
    </w:p>
    <w:p>
      <w:pPr>
        <w:rPr>
          <w:rFonts w:ascii="宋体" w:hAnsi="宋体" w:eastAsia="宋体"/>
          <w:color w:val="auto"/>
          <w:sz w:val="21"/>
          <w:szCs w:val="21"/>
          <w:highlight w:val="none"/>
        </w:rPr>
      </w:pPr>
      <w:r>
        <w:rPr>
          <w:rFonts w:hint="eastAsia" w:ascii="宋体" w:hAnsi="宋体" w:eastAsia="宋体"/>
          <w:color w:val="auto"/>
          <w:sz w:val="21"/>
          <w:szCs w:val="21"/>
          <w:highlight w:val="none"/>
        </w:rPr>
        <w:t>附件3  承诺函</w:t>
      </w:r>
    </w:p>
    <w:p>
      <w:pPr>
        <w:keepNext/>
        <w:keepLines/>
        <w:spacing w:before="100" w:line="400" w:lineRule="exact"/>
        <w:jc w:val="center"/>
        <w:outlineLvl w:val="1"/>
        <w:rPr>
          <w:rFonts w:eastAsia="黑体" w:cs="宋体"/>
          <w:color w:val="auto"/>
          <w:sz w:val="36"/>
          <w:szCs w:val="36"/>
          <w:highlight w:val="none"/>
        </w:rPr>
      </w:pPr>
      <w:bookmarkStart w:id="10" w:name="_Toc110321529"/>
      <w:r>
        <w:rPr>
          <w:rFonts w:eastAsia="黑体" w:cs="宋体"/>
          <w:color w:val="auto"/>
          <w:sz w:val="36"/>
          <w:szCs w:val="36"/>
          <w:highlight w:val="none"/>
        </w:rPr>
        <w:t>承诺函</w:t>
      </w:r>
      <w:bookmarkEnd w:id="10"/>
    </w:p>
    <w:p>
      <w:pPr>
        <w:spacing w:line="400" w:lineRule="exact"/>
        <w:rPr>
          <w:rFonts w:eastAsia="宋体"/>
          <w:color w:val="auto"/>
          <w:sz w:val="21"/>
          <w:szCs w:val="24"/>
          <w:highlight w:val="none"/>
        </w:rPr>
      </w:pPr>
      <w:r>
        <w:rPr>
          <w:rFonts w:eastAsia="宋体"/>
          <w:color w:val="auto"/>
          <w:sz w:val="21"/>
          <w:szCs w:val="24"/>
          <w:highlight w:val="none"/>
        </w:rPr>
        <w:t>_________________________（招标人名称）：</w:t>
      </w:r>
    </w:p>
    <w:p>
      <w:pPr>
        <w:spacing w:line="400" w:lineRule="exact"/>
        <w:ind w:firstLine="435"/>
        <w:rPr>
          <w:rFonts w:eastAsia="宋体"/>
          <w:color w:val="auto"/>
          <w:sz w:val="21"/>
          <w:szCs w:val="24"/>
          <w:highlight w:val="none"/>
        </w:rPr>
      </w:pPr>
      <w:r>
        <w:rPr>
          <w:rFonts w:eastAsia="宋体"/>
          <w:color w:val="auto"/>
          <w:sz w:val="21"/>
          <w:szCs w:val="24"/>
          <w:highlight w:val="none"/>
        </w:rPr>
        <w:t>我方参加了__________________（项目名称）____标段施工投标，若我方中标，我方在此承诺：</w:t>
      </w:r>
    </w:p>
    <w:p>
      <w:pPr>
        <w:spacing w:line="400" w:lineRule="exact"/>
        <w:ind w:firstLine="435"/>
        <w:rPr>
          <w:rFonts w:eastAsia="宋体"/>
          <w:color w:val="auto"/>
          <w:sz w:val="21"/>
          <w:szCs w:val="24"/>
          <w:highlight w:val="none"/>
        </w:rPr>
      </w:pPr>
      <w:r>
        <w:rPr>
          <w:rFonts w:eastAsia="宋体"/>
          <w:color w:val="auto"/>
          <w:sz w:val="21"/>
          <w:szCs w:val="24"/>
          <w:highlight w:val="none"/>
        </w:rPr>
        <w:t>若本项目招标文件未要求我方在投标文件中填报派驻本标段的其他主要管理人员和技术人员及主要机械设备和试验检测设备，在招标人向我方发出中标通知书之前，我方将按照合同附件提出的最低要求填报派驻本标段的其他主要管理人员和技术人员</w:t>
      </w:r>
      <w:r>
        <w:rPr>
          <w:rFonts w:hint="eastAsia" w:eastAsia="宋体"/>
          <w:color w:val="auto"/>
          <w:sz w:val="21"/>
          <w:szCs w:val="24"/>
          <w:highlight w:val="none"/>
        </w:rPr>
        <w:t>（并按要求提供社保证明）</w:t>
      </w:r>
      <w:r>
        <w:rPr>
          <w:rFonts w:eastAsia="宋体"/>
          <w:color w:val="auto"/>
          <w:sz w:val="21"/>
          <w:szCs w:val="24"/>
          <w:highlight w:val="none"/>
        </w:rPr>
        <w:t>及主要机械设备和试验检测设备，在经招标人审批后作为派驻本标段的项目管理机构主要人员和主要设备且不进行更换。</w:t>
      </w:r>
      <w:r>
        <w:rPr>
          <w:rFonts w:eastAsia="宋体"/>
          <w:color w:val="auto"/>
          <w:sz w:val="21"/>
          <w:szCs w:val="24"/>
          <w:highlight w:val="none"/>
          <w:vertAlign w:val="superscript"/>
        </w:rPr>
        <w:footnoteReference w:id="1"/>
      </w:r>
    </w:p>
    <w:p>
      <w:pPr>
        <w:spacing w:line="400" w:lineRule="exact"/>
        <w:ind w:firstLine="435"/>
        <w:rPr>
          <w:rFonts w:eastAsia="宋体"/>
          <w:color w:val="auto"/>
          <w:sz w:val="21"/>
          <w:szCs w:val="24"/>
          <w:highlight w:val="none"/>
        </w:rPr>
      </w:pPr>
      <w:r>
        <w:rPr>
          <w:rFonts w:eastAsia="宋体"/>
          <w:color w:val="auto"/>
          <w:sz w:val="21"/>
          <w:szCs w:val="24"/>
          <w:highlight w:val="none"/>
        </w:rPr>
        <w:t>若我方已按本项目招标文件要求在投标文件中填报派驻本标段的其他主要管理人员和技术人员及主要机械设备和试验检测设备，我方将严格按照在投标文件中填报的其他主要管理人员和技术人员及主要机械设备和试验检测设备组织进场施工，且不进行更换。</w:t>
      </w:r>
      <w:r>
        <w:rPr>
          <w:rFonts w:eastAsia="宋体"/>
          <w:color w:val="auto"/>
          <w:sz w:val="21"/>
          <w:szCs w:val="24"/>
          <w:highlight w:val="none"/>
          <w:vertAlign w:val="superscript"/>
        </w:rPr>
        <w:footnoteReference w:id="2"/>
      </w:r>
    </w:p>
    <w:p>
      <w:pPr>
        <w:spacing w:line="400" w:lineRule="exact"/>
        <w:ind w:firstLine="435"/>
        <w:rPr>
          <w:rFonts w:eastAsia="宋体"/>
          <w:color w:val="auto"/>
          <w:sz w:val="21"/>
          <w:szCs w:val="24"/>
          <w:highlight w:val="none"/>
        </w:rPr>
      </w:pPr>
      <w:r>
        <w:rPr>
          <w:rFonts w:eastAsia="宋体"/>
          <w:color w:val="auto"/>
          <w:sz w:val="21"/>
          <w:szCs w:val="24"/>
          <w:highlight w:val="none"/>
        </w:rPr>
        <w:t>我方承诺：在招标人发出中标通知书前接受明显不平衡报价的修正。</w:t>
      </w:r>
    </w:p>
    <w:p>
      <w:pPr>
        <w:spacing w:line="400" w:lineRule="exact"/>
        <w:ind w:firstLine="435"/>
        <w:rPr>
          <w:rFonts w:eastAsia="宋体"/>
          <w:color w:val="auto"/>
          <w:sz w:val="21"/>
          <w:szCs w:val="24"/>
          <w:highlight w:val="none"/>
        </w:rPr>
      </w:pPr>
      <w:r>
        <w:rPr>
          <w:rFonts w:eastAsia="宋体"/>
          <w:color w:val="auto"/>
          <w:sz w:val="21"/>
          <w:szCs w:val="24"/>
          <w:highlight w:val="none"/>
        </w:rPr>
        <w:t>如我方违背了上述承诺，本项目招标人有权取消我方的中标资格，并由招标人将我方的违约行为上报省级交通主管部门，作为不良记录纳入</w:t>
      </w:r>
      <w:r>
        <w:rPr>
          <w:rFonts w:eastAsia="宋体"/>
          <w:color w:val="auto"/>
          <w:sz w:val="21"/>
          <w:szCs w:val="21"/>
          <w:highlight w:val="none"/>
        </w:rPr>
        <w:t>浙江省交通运输信用综合管理服务系统</w:t>
      </w:r>
      <w:r>
        <w:rPr>
          <w:rFonts w:eastAsia="宋体"/>
          <w:color w:val="auto"/>
          <w:sz w:val="21"/>
          <w:szCs w:val="24"/>
          <w:highlight w:val="none"/>
        </w:rPr>
        <w:t>。</w:t>
      </w:r>
    </w:p>
    <w:p>
      <w:pPr>
        <w:spacing w:line="400" w:lineRule="exact"/>
        <w:ind w:firstLine="435"/>
        <w:rPr>
          <w:rFonts w:eastAsia="宋体"/>
          <w:color w:val="auto"/>
          <w:sz w:val="21"/>
          <w:szCs w:val="24"/>
          <w:highlight w:val="none"/>
        </w:rPr>
      </w:pPr>
      <w:r>
        <w:rPr>
          <w:rFonts w:eastAsia="宋体"/>
          <w:color w:val="auto"/>
          <w:sz w:val="21"/>
          <w:szCs w:val="24"/>
          <w:highlight w:val="none"/>
        </w:rPr>
        <w:t>我方同时承诺，不通过互联网与任何单位和个人进行与本项目有关图纸资料交换传递，不通过任何途径向本项目无关方泄露和传播本项目有关图纸资料。</w:t>
      </w:r>
    </w:p>
    <w:p>
      <w:pPr>
        <w:spacing w:line="400" w:lineRule="exact"/>
        <w:ind w:firstLine="435"/>
        <w:rPr>
          <w:rFonts w:eastAsia="宋体"/>
          <w:color w:val="auto"/>
          <w:sz w:val="21"/>
          <w:szCs w:val="24"/>
          <w:highlight w:val="none"/>
        </w:rPr>
      </w:pPr>
      <w:r>
        <w:rPr>
          <w:rFonts w:eastAsia="宋体"/>
          <w:color w:val="auto"/>
          <w:sz w:val="21"/>
          <w:szCs w:val="24"/>
          <w:highlight w:val="none"/>
        </w:rPr>
        <w:t>我方承诺本项目拟任项目经理在投标截止日无在其他任何在建合同工程上担任项目负责人的情形。在建合同工程的开始时间为合同工程中标通知书发出日期（不通过招标方式的，开始时间为合同签订日期），结束时间为该合同通过合同验收或合同解除日期。</w:t>
      </w:r>
    </w:p>
    <w:p>
      <w:pPr>
        <w:spacing w:line="400" w:lineRule="exact"/>
        <w:ind w:firstLine="435"/>
        <w:rPr>
          <w:rFonts w:ascii="宋体" w:hAnsi="宋体" w:eastAsia="宋体"/>
          <w:color w:val="auto"/>
          <w:sz w:val="21"/>
          <w:szCs w:val="21"/>
          <w:highlight w:val="none"/>
        </w:rPr>
      </w:pPr>
      <w:r>
        <w:rPr>
          <w:rFonts w:hint="eastAsia" w:ascii="宋体" w:hAnsi="宋体" w:eastAsia="宋体" w:cs="Times New Roman"/>
          <w:color w:val="auto"/>
          <w:kern w:val="2"/>
          <w:sz w:val="21"/>
          <w:szCs w:val="21"/>
          <w:highlight w:val="none"/>
        </w:rPr>
        <w:t>我方法定代表人、拟派项目经理、委托代理人等主要责任人遵循公开、公平、公正和诚实信用的原则参与本次投标，没有弄虚作假、串通投标、行贿等行为。</w:t>
      </w:r>
    </w:p>
    <w:p>
      <w:pPr>
        <w:spacing w:line="400" w:lineRule="exact"/>
        <w:ind w:firstLine="435"/>
        <w:rPr>
          <w:rFonts w:eastAsia="宋体"/>
          <w:color w:val="auto"/>
          <w:sz w:val="21"/>
          <w:szCs w:val="24"/>
          <w:highlight w:val="none"/>
        </w:rPr>
      </w:pPr>
      <w:r>
        <w:rPr>
          <w:rFonts w:eastAsia="宋体"/>
          <w:color w:val="auto"/>
          <w:sz w:val="21"/>
          <w:szCs w:val="24"/>
          <w:highlight w:val="none"/>
        </w:rPr>
        <w:t>以上承诺如有虚假，愿意接受投标保证金不予退还的处</w:t>
      </w:r>
      <w:r>
        <w:rPr>
          <w:rFonts w:hint="eastAsia" w:eastAsia="宋体"/>
          <w:color w:val="auto"/>
          <w:sz w:val="21"/>
          <w:szCs w:val="24"/>
          <w:highlight w:val="none"/>
        </w:rPr>
        <w:t>理</w:t>
      </w:r>
      <w:r>
        <w:rPr>
          <w:rFonts w:eastAsia="宋体"/>
          <w:color w:val="auto"/>
          <w:sz w:val="21"/>
          <w:szCs w:val="24"/>
          <w:highlight w:val="none"/>
        </w:rPr>
        <w:t>。给招标人造成损失的，愿意依法承担赔偿责任。如已中标，同意招标人取消我方中标资格的处理。</w:t>
      </w:r>
    </w:p>
    <w:p>
      <w:pPr>
        <w:spacing w:line="400" w:lineRule="exact"/>
        <w:ind w:firstLine="510" w:firstLineChars="250"/>
        <w:rPr>
          <w:rFonts w:eastAsia="宋体"/>
          <w:color w:val="auto"/>
          <w:sz w:val="21"/>
          <w:szCs w:val="24"/>
          <w:highlight w:val="none"/>
        </w:rPr>
      </w:pPr>
      <w:r>
        <w:rPr>
          <w:rFonts w:eastAsia="宋体"/>
          <w:color w:val="auto"/>
          <w:sz w:val="21"/>
          <w:szCs w:val="24"/>
          <w:highlight w:val="none"/>
        </w:rPr>
        <w:t xml:space="preserve">                                投标人：_______________________（盖单位章）</w:t>
      </w:r>
    </w:p>
    <w:p>
      <w:pPr>
        <w:spacing w:line="400" w:lineRule="exact"/>
        <w:ind w:firstLine="510" w:firstLineChars="250"/>
        <w:rPr>
          <w:rFonts w:eastAsia="宋体"/>
          <w:color w:val="auto"/>
          <w:sz w:val="21"/>
          <w:szCs w:val="24"/>
          <w:highlight w:val="none"/>
        </w:rPr>
      </w:pPr>
      <w:r>
        <w:rPr>
          <w:rFonts w:eastAsia="宋体"/>
          <w:color w:val="auto"/>
          <w:sz w:val="21"/>
          <w:szCs w:val="24"/>
          <w:highlight w:val="none"/>
        </w:rPr>
        <w:t xml:space="preserve">                                法定代表人或其委托代理人：_________（签字）</w:t>
      </w:r>
    </w:p>
    <w:p>
      <w:pPr>
        <w:spacing w:line="400" w:lineRule="exact"/>
        <w:ind w:firstLine="510" w:firstLineChars="250"/>
        <w:rPr>
          <w:color w:val="auto"/>
          <w:highlight w:val="none"/>
        </w:rPr>
      </w:pPr>
      <w:r>
        <w:rPr>
          <w:rFonts w:eastAsia="宋体"/>
          <w:color w:val="auto"/>
          <w:sz w:val="21"/>
          <w:szCs w:val="24"/>
          <w:highlight w:val="none"/>
        </w:rPr>
        <w:t xml:space="preserve">                                          ________年____月____日</w:t>
      </w:r>
    </w:p>
    <w:sectPr>
      <w:pgSz w:w="11906" w:h="16838"/>
      <w:pgMar w:top="2098" w:right="1474" w:bottom="1985" w:left="1588" w:header="851" w:footer="1418" w:gutter="0"/>
      <w:cols w:space="425" w:num="1"/>
      <w:docGrid w:type="linesAndChars" w:linePitch="579" w:charSpace="-1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F7C1A20-62F3-438A-BAAF-7D8CEDE96E8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B41EFCE7-0C26-4A70-A8E9-0ADFF8279EF2}"/>
  </w:font>
  <w:font w:name="方正小标宋简体">
    <w:panose1 w:val="02000000000000000000"/>
    <w:charset w:val="86"/>
    <w:family w:val="auto"/>
    <w:pitch w:val="default"/>
    <w:sig w:usb0="00000001" w:usb1="080E0000" w:usb2="00000000" w:usb3="00000000" w:csb0="00040000" w:csb1="00000000"/>
    <w:embedRegular r:id="rId3" w:fontKey="{3F75D02C-7AD5-45EA-A04D-3705F7162EC8}"/>
  </w:font>
  <w:font w:name="仿宋">
    <w:panose1 w:val="02010609060101010101"/>
    <w:charset w:val="86"/>
    <w:family w:val="modern"/>
    <w:pitch w:val="default"/>
    <w:sig w:usb0="800002BF" w:usb1="38CF7CFA" w:usb2="00000016" w:usb3="00000000" w:csb0="00040001" w:csb1="00000000"/>
    <w:embedRegular r:id="rId4" w:fontKey="{7548BD12-DB5B-40DA-A3E8-2FE26591F8FC}"/>
  </w:font>
  <w:font w:name="Wingdings 2">
    <w:panose1 w:val="05020102010507070707"/>
    <w:charset w:val="02"/>
    <w:family w:val="roman"/>
    <w:pitch w:val="default"/>
    <w:sig w:usb0="00000000" w:usb1="00000000" w:usb2="00000000" w:usb3="00000000" w:csb0="80000000" w:csb1="00000000"/>
    <w:embedRegular r:id="rId5" w:fontKey="{94973589-E3CB-4375-85EC-1C7B69B837E6}"/>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ordWrap w:val="0"/>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3</w:t>
    </w:r>
    <w:r>
      <w:rPr>
        <w:rFonts w:ascii="宋体" w:hAnsi="宋体" w:eastAsia="宋体"/>
        <w:sz w:val="28"/>
        <w:szCs w:val="28"/>
      </w:rPr>
      <w:fldChar w:fldCharType="end"/>
    </w:r>
    <w:r>
      <w:rPr>
        <w:rFonts w:hint="eastAsia" w:ascii="宋体" w:hAnsi="宋体" w:eastAsia="宋体"/>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280" w:firstLineChars="100"/>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spacing w:line="300" w:lineRule="exact"/>
        <w:ind w:left="174" w:hanging="180" w:hangingChars="100"/>
        <w:rPr>
          <w:rFonts w:ascii="宋体" w:hAnsi="宋体"/>
          <w:sz w:val="18"/>
          <w:szCs w:val="18"/>
        </w:rPr>
      </w:pPr>
      <w:r>
        <w:rPr>
          <w:rFonts w:ascii="宋体" w:hAnsi="宋体"/>
          <w:sz w:val="18"/>
          <w:szCs w:val="18"/>
        </w:rPr>
        <w:footnoteRef/>
      </w:r>
      <w:r>
        <w:rPr>
          <w:rFonts w:ascii="宋体" w:hAnsi="宋体"/>
          <w:sz w:val="18"/>
          <w:szCs w:val="18"/>
        </w:rPr>
        <w:t xml:space="preserve"> </w:t>
      </w:r>
      <w:r>
        <w:rPr>
          <w:rFonts w:hint="eastAsia" w:ascii="宋体" w:hAnsi="宋体"/>
          <w:sz w:val="18"/>
          <w:szCs w:val="18"/>
        </w:rPr>
        <w:t>下浮系数从</w:t>
      </w:r>
      <w:r>
        <w:rPr>
          <w:rFonts w:ascii="宋体" w:hAnsi="宋体"/>
          <w:sz w:val="18"/>
          <w:szCs w:val="18"/>
        </w:rPr>
        <w:t>0.5</w:t>
      </w:r>
      <w:r>
        <w:rPr>
          <w:rFonts w:hint="eastAsia" w:ascii="宋体" w:hAnsi="宋体"/>
          <w:sz w:val="18"/>
          <w:szCs w:val="18"/>
        </w:rPr>
        <w:t>、1、1</w:t>
      </w:r>
      <w:r>
        <w:rPr>
          <w:rFonts w:ascii="宋体" w:hAnsi="宋体"/>
          <w:sz w:val="18"/>
          <w:szCs w:val="18"/>
        </w:rPr>
        <w:t>.5</w:t>
      </w:r>
      <w:r>
        <w:rPr>
          <w:rFonts w:hint="eastAsia" w:ascii="宋体" w:hAnsi="宋体"/>
          <w:sz w:val="18"/>
          <w:szCs w:val="18"/>
        </w:rPr>
        <w:t>、2、2</w:t>
      </w:r>
      <w:r>
        <w:rPr>
          <w:rFonts w:ascii="宋体" w:hAnsi="宋体"/>
          <w:sz w:val="18"/>
          <w:szCs w:val="18"/>
        </w:rPr>
        <w:t>.5</w:t>
      </w:r>
      <w:r>
        <w:rPr>
          <w:rFonts w:hint="eastAsia" w:ascii="宋体" w:hAnsi="宋体"/>
          <w:sz w:val="18"/>
          <w:szCs w:val="18"/>
        </w:rPr>
        <w:t>、3、3</w:t>
      </w:r>
      <w:r>
        <w:rPr>
          <w:rFonts w:ascii="宋体" w:hAnsi="宋体"/>
          <w:sz w:val="18"/>
          <w:szCs w:val="18"/>
        </w:rPr>
        <w:t>.5</w:t>
      </w:r>
      <w:r>
        <w:rPr>
          <w:rFonts w:hint="eastAsia" w:ascii="宋体" w:hAnsi="宋体"/>
          <w:sz w:val="18"/>
          <w:szCs w:val="18"/>
        </w:rPr>
        <w:t>、4、4</w:t>
      </w:r>
      <w:r>
        <w:rPr>
          <w:rFonts w:ascii="宋体" w:hAnsi="宋体"/>
          <w:sz w:val="18"/>
          <w:szCs w:val="18"/>
        </w:rPr>
        <w:t>.5</w:t>
      </w:r>
      <w:r>
        <w:rPr>
          <w:rFonts w:hint="eastAsia" w:ascii="宋体" w:hAnsi="宋体"/>
          <w:sz w:val="18"/>
          <w:szCs w:val="18"/>
        </w:rPr>
        <w:t>、5十个值中视项目情况取三个连续值，并在招标文件中明确。</w:t>
      </w:r>
    </w:p>
  </w:footnote>
  <w:footnote w:id="1">
    <w:p>
      <w:pPr>
        <w:spacing w:line="300" w:lineRule="exact"/>
        <w:ind w:left="174" w:hanging="180" w:hangingChars="100"/>
        <w:rPr>
          <w:rFonts w:ascii="宋体" w:hAnsi="宋体"/>
          <w:sz w:val="18"/>
          <w:szCs w:val="18"/>
        </w:rPr>
      </w:pPr>
      <w:r>
        <w:rPr>
          <w:rFonts w:ascii="宋体" w:hAnsi="宋体"/>
          <w:sz w:val="18"/>
          <w:szCs w:val="18"/>
        </w:rPr>
        <w:footnoteRef/>
      </w:r>
      <w:r>
        <w:rPr>
          <w:rFonts w:ascii="宋体" w:hAnsi="宋体"/>
          <w:sz w:val="18"/>
          <w:szCs w:val="18"/>
        </w:rPr>
        <w:t xml:space="preserve"> </w:t>
      </w:r>
      <w:r>
        <w:rPr>
          <w:rFonts w:hint="eastAsia" w:ascii="宋体" w:hAnsi="宋体"/>
          <w:sz w:val="18"/>
          <w:szCs w:val="18"/>
        </w:rPr>
        <w:t>本段适用于</w:t>
      </w:r>
      <w:r>
        <w:rPr>
          <w:rFonts w:hint="eastAsia" w:ascii="宋体" w:hAnsi="宋体"/>
          <w:color w:val="FF0000"/>
          <w:sz w:val="18"/>
          <w:szCs w:val="18"/>
        </w:rPr>
        <w:t>“技术通过制的合理低价法”</w:t>
      </w:r>
      <w:r>
        <w:rPr>
          <w:rFonts w:hint="eastAsia" w:ascii="宋体" w:hAnsi="宋体"/>
          <w:sz w:val="18"/>
          <w:szCs w:val="18"/>
        </w:rPr>
        <w:t>和“经评审的最低投标价法”等对其他主要管理人员和技术人员及主要机械设备和试验检测设备未设置资格审查条件的情况。</w:t>
      </w:r>
    </w:p>
  </w:footnote>
  <w:footnote w:id="2">
    <w:p>
      <w:pPr>
        <w:spacing w:line="300" w:lineRule="exact"/>
        <w:ind w:left="174" w:hanging="180" w:hangingChars="100"/>
        <w:rPr>
          <w:rFonts w:ascii="宋体" w:hAnsi="宋体"/>
          <w:sz w:val="18"/>
          <w:szCs w:val="18"/>
        </w:rPr>
      </w:pPr>
      <w:r>
        <w:rPr>
          <w:rFonts w:ascii="宋体" w:hAnsi="宋体"/>
          <w:sz w:val="18"/>
          <w:szCs w:val="18"/>
        </w:rPr>
        <w:footnoteRef/>
      </w:r>
      <w:r>
        <w:rPr>
          <w:rFonts w:ascii="宋体" w:hAnsi="宋体"/>
          <w:sz w:val="18"/>
          <w:szCs w:val="18"/>
        </w:rPr>
        <w:t xml:space="preserve"> </w:t>
      </w:r>
      <w:r>
        <w:rPr>
          <w:rFonts w:hint="eastAsia" w:ascii="宋体" w:hAnsi="宋体"/>
          <w:sz w:val="18"/>
          <w:szCs w:val="18"/>
        </w:rPr>
        <w:t>本段适用于</w:t>
      </w:r>
      <w:r>
        <w:rPr>
          <w:rFonts w:hint="eastAsia" w:ascii="宋体" w:hAnsi="宋体"/>
          <w:color w:val="FF0000"/>
          <w:sz w:val="18"/>
          <w:szCs w:val="18"/>
        </w:rPr>
        <w:t>“技术打分制的合理低价法”和“综合评分法”</w:t>
      </w:r>
      <w:r>
        <w:rPr>
          <w:rFonts w:hint="eastAsia" w:ascii="宋体" w:hAnsi="宋体"/>
          <w:sz w:val="18"/>
          <w:szCs w:val="18"/>
        </w:rPr>
        <w:t>中对其他主要管理人员和技术人员及主要机械设备和试验检测设备设置资格审查条件的情况。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A246B8"/>
    <w:multiLevelType w:val="singleLevel"/>
    <w:tmpl w:val="53A246B8"/>
    <w:lvl w:ilvl="0" w:tentative="0">
      <w:start w:val="5"/>
      <w:numFmt w:val="decimal"/>
      <w:suff w:val="nothing"/>
      <w:lvlText w:val="（%1）"/>
      <w:lvlJc w:val="left"/>
    </w:lvl>
  </w:abstractNum>
  <w:abstractNum w:abstractNumId="1">
    <w:nsid w:val="7EAC6E45"/>
    <w:multiLevelType w:val="singleLevel"/>
    <w:tmpl w:val="7EAC6E45"/>
    <w:lvl w:ilvl="0" w:tentative="0">
      <w:start w:val="3"/>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57"/>
  <w:drawingGridVerticalSpacing w:val="579"/>
  <w:displayHorizontalDrawingGridEvery w:val="0"/>
  <w:doNotShadeFormData w:val="1"/>
  <w:characterSpacingControl w:val="compressPunctuation"/>
  <w:footnotePr>
    <w:footnote w:id="6"/>
    <w:footnote w:id="7"/>
  </w:foot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1NGQ4MDY4NjMxYWVlMzc3ODM2NDE0MmU1ODUxYzYifQ=="/>
  </w:docVars>
  <w:rsids>
    <w:rsidRoot w:val="007A4382"/>
    <w:rsid w:val="00003FF7"/>
    <w:rsid w:val="00005754"/>
    <w:rsid w:val="00030A07"/>
    <w:rsid w:val="00034366"/>
    <w:rsid w:val="0005620D"/>
    <w:rsid w:val="00063D9D"/>
    <w:rsid w:val="0006706A"/>
    <w:rsid w:val="000723F3"/>
    <w:rsid w:val="00082AF4"/>
    <w:rsid w:val="000C5A9B"/>
    <w:rsid w:val="000C71D8"/>
    <w:rsid w:val="000D285D"/>
    <w:rsid w:val="000E598A"/>
    <w:rsid w:val="00122DA9"/>
    <w:rsid w:val="00123CA6"/>
    <w:rsid w:val="00140E25"/>
    <w:rsid w:val="00172993"/>
    <w:rsid w:val="001868DB"/>
    <w:rsid w:val="001908D0"/>
    <w:rsid w:val="001A48A7"/>
    <w:rsid w:val="001C5606"/>
    <w:rsid w:val="001D0057"/>
    <w:rsid w:val="001D19FF"/>
    <w:rsid w:val="00205D9A"/>
    <w:rsid w:val="00205F19"/>
    <w:rsid w:val="00210894"/>
    <w:rsid w:val="0021793F"/>
    <w:rsid w:val="002269D5"/>
    <w:rsid w:val="00235B96"/>
    <w:rsid w:val="00252FE7"/>
    <w:rsid w:val="00253830"/>
    <w:rsid w:val="002571C2"/>
    <w:rsid w:val="002604DD"/>
    <w:rsid w:val="00264DBA"/>
    <w:rsid w:val="0029150B"/>
    <w:rsid w:val="002B646D"/>
    <w:rsid w:val="002C10C8"/>
    <w:rsid w:val="002C243B"/>
    <w:rsid w:val="002D4E87"/>
    <w:rsid w:val="002D7134"/>
    <w:rsid w:val="002E10B2"/>
    <w:rsid w:val="002E42A3"/>
    <w:rsid w:val="002E6A55"/>
    <w:rsid w:val="002F4491"/>
    <w:rsid w:val="002F4C04"/>
    <w:rsid w:val="0030415C"/>
    <w:rsid w:val="00306F84"/>
    <w:rsid w:val="003160AF"/>
    <w:rsid w:val="00320896"/>
    <w:rsid w:val="00321981"/>
    <w:rsid w:val="0033537E"/>
    <w:rsid w:val="00353367"/>
    <w:rsid w:val="00355A7B"/>
    <w:rsid w:val="003977B0"/>
    <w:rsid w:val="003A27A0"/>
    <w:rsid w:val="003A3BEB"/>
    <w:rsid w:val="003B2328"/>
    <w:rsid w:val="003E59C8"/>
    <w:rsid w:val="003F5150"/>
    <w:rsid w:val="00400F2D"/>
    <w:rsid w:val="00405961"/>
    <w:rsid w:val="00414DF5"/>
    <w:rsid w:val="004152C6"/>
    <w:rsid w:val="00434620"/>
    <w:rsid w:val="00440495"/>
    <w:rsid w:val="00441202"/>
    <w:rsid w:val="004754D2"/>
    <w:rsid w:val="004847EC"/>
    <w:rsid w:val="0048631B"/>
    <w:rsid w:val="00496BFD"/>
    <w:rsid w:val="004A3A79"/>
    <w:rsid w:val="004B1247"/>
    <w:rsid w:val="004B3022"/>
    <w:rsid w:val="004F2A4C"/>
    <w:rsid w:val="004F39A7"/>
    <w:rsid w:val="00513EC2"/>
    <w:rsid w:val="00527AB9"/>
    <w:rsid w:val="00537AE4"/>
    <w:rsid w:val="0054342D"/>
    <w:rsid w:val="00546EDA"/>
    <w:rsid w:val="00554A36"/>
    <w:rsid w:val="00554FC6"/>
    <w:rsid w:val="00560693"/>
    <w:rsid w:val="00571165"/>
    <w:rsid w:val="00581C87"/>
    <w:rsid w:val="00582B8B"/>
    <w:rsid w:val="00583FE1"/>
    <w:rsid w:val="00594720"/>
    <w:rsid w:val="005E1719"/>
    <w:rsid w:val="005E1927"/>
    <w:rsid w:val="005F456F"/>
    <w:rsid w:val="005F5D47"/>
    <w:rsid w:val="00607978"/>
    <w:rsid w:val="00613B9F"/>
    <w:rsid w:val="00620EFF"/>
    <w:rsid w:val="00622EBA"/>
    <w:rsid w:val="00623964"/>
    <w:rsid w:val="00625148"/>
    <w:rsid w:val="006508CA"/>
    <w:rsid w:val="00661C79"/>
    <w:rsid w:val="00672843"/>
    <w:rsid w:val="006811D1"/>
    <w:rsid w:val="00690188"/>
    <w:rsid w:val="006C3D65"/>
    <w:rsid w:val="006D6357"/>
    <w:rsid w:val="006E29B3"/>
    <w:rsid w:val="006F1C09"/>
    <w:rsid w:val="00702EE6"/>
    <w:rsid w:val="00705AAC"/>
    <w:rsid w:val="007224C7"/>
    <w:rsid w:val="00727F26"/>
    <w:rsid w:val="007564CE"/>
    <w:rsid w:val="007656B5"/>
    <w:rsid w:val="0076637E"/>
    <w:rsid w:val="00767BB1"/>
    <w:rsid w:val="00770A5E"/>
    <w:rsid w:val="00781E38"/>
    <w:rsid w:val="00783A85"/>
    <w:rsid w:val="0079649B"/>
    <w:rsid w:val="007A4382"/>
    <w:rsid w:val="007B0F27"/>
    <w:rsid w:val="007C1B20"/>
    <w:rsid w:val="007E2BA1"/>
    <w:rsid w:val="007E6B9B"/>
    <w:rsid w:val="007F5721"/>
    <w:rsid w:val="007F7324"/>
    <w:rsid w:val="0080305B"/>
    <w:rsid w:val="00815B20"/>
    <w:rsid w:val="00822E0F"/>
    <w:rsid w:val="00824F72"/>
    <w:rsid w:val="00844260"/>
    <w:rsid w:val="008665BC"/>
    <w:rsid w:val="0088617B"/>
    <w:rsid w:val="008B7520"/>
    <w:rsid w:val="008C167A"/>
    <w:rsid w:val="008C25C5"/>
    <w:rsid w:val="008E7A61"/>
    <w:rsid w:val="008F003F"/>
    <w:rsid w:val="008F6B89"/>
    <w:rsid w:val="00924901"/>
    <w:rsid w:val="00925583"/>
    <w:rsid w:val="009508FC"/>
    <w:rsid w:val="009524EB"/>
    <w:rsid w:val="00960B49"/>
    <w:rsid w:val="00962870"/>
    <w:rsid w:val="009671DC"/>
    <w:rsid w:val="009709BE"/>
    <w:rsid w:val="009752F4"/>
    <w:rsid w:val="00976061"/>
    <w:rsid w:val="00982B9A"/>
    <w:rsid w:val="00984449"/>
    <w:rsid w:val="009869F7"/>
    <w:rsid w:val="00994C38"/>
    <w:rsid w:val="00995AA3"/>
    <w:rsid w:val="009A5A6A"/>
    <w:rsid w:val="009B3CB7"/>
    <w:rsid w:val="009C2C22"/>
    <w:rsid w:val="009C3649"/>
    <w:rsid w:val="00A15D8B"/>
    <w:rsid w:val="00A160D6"/>
    <w:rsid w:val="00A20F57"/>
    <w:rsid w:val="00A24DC1"/>
    <w:rsid w:val="00A26FF1"/>
    <w:rsid w:val="00A31FCC"/>
    <w:rsid w:val="00A325CC"/>
    <w:rsid w:val="00A572C6"/>
    <w:rsid w:val="00A750F7"/>
    <w:rsid w:val="00A811C7"/>
    <w:rsid w:val="00AA3CAC"/>
    <w:rsid w:val="00AB45A2"/>
    <w:rsid w:val="00AB7A74"/>
    <w:rsid w:val="00AC365D"/>
    <w:rsid w:val="00AC6005"/>
    <w:rsid w:val="00AE1706"/>
    <w:rsid w:val="00AE1B5D"/>
    <w:rsid w:val="00AF031A"/>
    <w:rsid w:val="00B02E7D"/>
    <w:rsid w:val="00B11C96"/>
    <w:rsid w:val="00B306A4"/>
    <w:rsid w:val="00B313AF"/>
    <w:rsid w:val="00B35A65"/>
    <w:rsid w:val="00B90289"/>
    <w:rsid w:val="00BB59B1"/>
    <w:rsid w:val="00BB7536"/>
    <w:rsid w:val="00BC212C"/>
    <w:rsid w:val="00BD5B66"/>
    <w:rsid w:val="00C06837"/>
    <w:rsid w:val="00C3425D"/>
    <w:rsid w:val="00C435D8"/>
    <w:rsid w:val="00C5661F"/>
    <w:rsid w:val="00C6540F"/>
    <w:rsid w:val="00C66C74"/>
    <w:rsid w:val="00C911F7"/>
    <w:rsid w:val="00C9306C"/>
    <w:rsid w:val="00CA26CF"/>
    <w:rsid w:val="00CB4E34"/>
    <w:rsid w:val="00CB70C4"/>
    <w:rsid w:val="00CD26E9"/>
    <w:rsid w:val="00CD5618"/>
    <w:rsid w:val="00CD7916"/>
    <w:rsid w:val="00CD7F56"/>
    <w:rsid w:val="00CF0F1A"/>
    <w:rsid w:val="00CF60E3"/>
    <w:rsid w:val="00D038EC"/>
    <w:rsid w:val="00D1455A"/>
    <w:rsid w:val="00D14974"/>
    <w:rsid w:val="00D152CC"/>
    <w:rsid w:val="00D16522"/>
    <w:rsid w:val="00D25E50"/>
    <w:rsid w:val="00D71CB6"/>
    <w:rsid w:val="00D84C4C"/>
    <w:rsid w:val="00D85680"/>
    <w:rsid w:val="00D95535"/>
    <w:rsid w:val="00DB7C53"/>
    <w:rsid w:val="00DC5448"/>
    <w:rsid w:val="00DE21B1"/>
    <w:rsid w:val="00DF0315"/>
    <w:rsid w:val="00E00D48"/>
    <w:rsid w:val="00E2089A"/>
    <w:rsid w:val="00E26325"/>
    <w:rsid w:val="00E634F9"/>
    <w:rsid w:val="00E67920"/>
    <w:rsid w:val="00E80304"/>
    <w:rsid w:val="00E86420"/>
    <w:rsid w:val="00E95137"/>
    <w:rsid w:val="00EA6D73"/>
    <w:rsid w:val="00EA6FF6"/>
    <w:rsid w:val="00EC13B0"/>
    <w:rsid w:val="00EC14DA"/>
    <w:rsid w:val="00EC286C"/>
    <w:rsid w:val="00EC3B61"/>
    <w:rsid w:val="00F31D9E"/>
    <w:rsid w:val="00F32D4E"/>
    <w:rsid w:val="00F410CF"/>
    <w:rsid w:val="00F5250F"/>
    <w:rsid w:val="00F63B23"/>
    <w:rsid w:val="00F6426C"/>
    <w:rsid w:val="00F64E5B"/>
    <w:rsid w:val="00F75010"/>
    <w:rsid w:val="00F77431"/>
    <w:rsid w:val="00F77F1D"/>
    <w:rsid w:val="00F80D0D"/>
    <w:rsid w:val="00F841C7"/>
    <w:rsid w:val="00FC4A08"/>
    <w:rsid w:val="00FD5DB9"/>
    <w:rsid w:val="00FD6D3F"/>
    <w:rsid w:val="00FE1B28"/>
    <w:rsid w:val="00FE7906"/>
    <w:rsid w:val="3D700F5C"/>
    <w:rsid w:val="3DB94527"/>
    <w:rsid w:val="3FEE5C2D"/>
    <w:rsid w:val="4EA96E4D"/>
    <w:rsid w:val="5BCBDBC9"/>
    <w:rsid w:val="5D4DC188"/>
    <w:rsid w:val="5DE6FC18"/>
    <w:rsid w:val="67779084"/>
    <w:rsid w:val="67FFAE9B"/>
    <w:rsid w:val="6EF48B61"/>
    <w:rsid w:val="73CFE420"/>
    <w:rsid w:val="76D5B9B0"/>
    <w:rsid w:val="76F55B87"/>
    <w:rsid w:val="7E7707E0"/>
    <w:rsid w:val="7EFCB1F3"/>
    <w:rsid w:val="7EFF1105"/>
    <w:rsid w:val="7FFE3EDA"/>
    <w:rsid w:val="82DD7F23"/>
    <w:rsid w:val="AA3F1CB8"/>
    <w:rsid w:val="B7FD8480"/>
    <w:rsid w:val="BFFD52DE"/>
    <w:rsid w:val="DCFF7E7D"/>
    <w:rsid w:val="EE5F0304"/>
    <w:rsid w:val="EF3CF247"/>
    <w:rsid w:val="F7FF4B5E"/>
    <w:rsid w:val="FDBCBF35"/>
    <w:rsid w:val="FEDFC7A1"/>
    <w:rsid w:val="FFFEE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link w:val="17"/>
    <w:qFormat/>
    <w:uiPriority w:val="0"/>
    <w:pPr>
      <w:keepNext/>
      <w:keepLines/>
      <w:spacing w:line="360" w:lineRule="auto"/>
      <w:outlineLvl w:val="0"/>
    </w:pPr>
    <w:rPr>
      <w:rFonts w:eastAsia="宋体"/>
      <w:b/>
      <w:bCs/>
      <w:kern w:val="44"/>
      <w:szCs w:val="44"/>
      <w:lang w:val="zh-CN"/>
    </w:rPr>
  </w:style>
  <w:style w:type="paragraph" w:styleId="3">
    <w:name w:val="heading 3"/>
    <w:basedOn w:val="1"/>
    <w:next w:val="1"/>
    <w:link w:val="19"/>
    <w:semiHidden/>
    <w:unhideWhenUsed/>
    <w:qFormat/>
    <w:uiPriority w:val="0"/>
    <w:pPr>
      <w:keepNext/>
      <w:keepLines/>
      <w:spacing w:before="260" w:after="260" w:line="416" w:lineRule="auto"/>
      <w:outlineLvl w:val="2"/>
    </w:pPr>
    <w:rPr>
      <w:b/>
      <w:bCs/>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Document Map"/>
    <w:basedOn w:val="1"/>
    <w:semiHidden/>
    <w:qFormat/>
    <w:uiPriority w:val="0"/>
    <w:pPr>
      <w:shd w:val="clear" w:color="auto" w:fill="000080"/>
    </w:pPr>
  </w:style>
  <w:style w:type="paragraph" w:styleId="5">
    <w:name w:val="Body Text Indent"/>
    <w:basedOn w:val="1"/>
    <w:link w:val="21"/>
    <w:qFormat/>
    <w:uiPriority w:val="0"/>
    <w:pPr>
      <w:spacing w:line="580" w:lineRule="exact"/>
      <w:ind w:firstLine="645"/>
    </w:pPr>
  </w:style>
  <w:style w:type="paragraph" w:styleId="6">
    <w:name w:val="Body Text Indent 2"/>
    <w:basedOn w:val="1"/>
    <w:next w:val="7"/>
    <w:link w:val="20"/>
    <w:qFormat/>
    <w:uiPriority w:val="0"/>
    <w:pPr>
      <w:spacing w:after="120" w:line="480" w:lineRule="auto"/>
      <w:ind w:left="420" w:leftChars="200"/>
    </w:pPr>
  </w:style>
  <w:style w:type="paragraph" w:styleId="7">
    <w:name w:val="Body Text First Indent 2"/>
    <w:basedOn w:val="5"/>
    <w:link w:val="22"/>
    <w:qFormat/>
    <w:uiPriority w:val="0"/>
    <w:pPr>
      <w:spacing w:after="120" w:line="240" w:lineRule="auto"/>
      <w:ind w:left="420" w:leftChars="200" w:firstLine="420" w:firstLineChars="200"/>
    </w:pPr>
  </w:style>
  <w:style w:type="paragraph" w:styleId="8">
    <w:name w:val="Balloon Text"/>
    <w:basedOn w:val="1"/>
    <w:link w:val="23"/>
    <w:qFormat/>
    <w:uiPriority w:val="0"/>
    <w:rPr>
      <w:sz w:val="18"/>
      <w:szCs w:val="18"/>
    </w:rPr>
  </w:style>
  <w:style w:type="paragraph" w:styleId="9">
    <w:name w:val="footer"/>
    <w:basedOn w:val="1"/>
    <w:link w:val="16"/>
    <w:qFormat/>
    <w:uiPriority w:val="99"/>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Strong"/>
    <w:qFormat/>
    <w:uiPriority w:val="22"/>
    <w:rPr>
      <w:b/>
      <w:bCs/>
    </w:rPr>
  </w:style>
  <w:style w:type="character" w:styleId="15">
    <w:name w:val="page number"/>
    <w:basedOn w:val="13"/>
    <w:qFormat/>
    <w:uiPriority w:val="0"/>
  </w:style>
  <w:style w:type="character" w:customStyle="1" w:styleId="16">
    <w:name w:val="页脚 Char"/>
    <w:link w:val="9"/>
    <w:qFormat/>
    <w:uiPriority w:val="99"/>
    <w:rPr>
      <w:rFonts w:eastAsia="仿宋_GB2312"/>
      <w:kern w:val="2"/>
      <w:sz w:val="18"/>
      <w:szCs w:val="18"/>
    </w:rPr>
  </w:style>
  <w:style w:type="character" w:customStyle="1" w:styleId="17">
    <w:name w:val="标题 1 Char"/>
    <w:link w:val="2"/>
    <w:qFormat/>
    <w:uiPriority w:val="0"/>
    <w:rPr>
      <w:b/>
      <w:bCs/>
      <w:kern w:val="44"/>
      <w:sz w:val="32"/>
      <w:szCs w:val="44"/>
      <w:lang w:val="zh-CN" w:eastAsia="zh-CN"/>
    </w:rPr>
  </w:style>
  <w:style w:type="paragraph" w:customStyle="1" w:styleId="1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9">
    <w:name w:val="标题 3 Char"/>
    <w:link w:val="3"/>
    <w:semiHidden/>
    <w:qFormat/>
    <w:uiPriority w:val="0"/>
    <w:rPr>
      <w:rFonts w:eastAsia="仿宋_GB2312"/>
      <w:b/>
      <w:bCs/>
      <w:kern w:val="2"/>
      <w:sz w:val="32"/>
      <w:szCs w:val="32"/>
    </w:rPr>
  </w:style>
  <w:style w:type="character" w:customStyle="1" w:styleId="20">
    <w:name w:val="正文文本缩进 2 Char"/>
    <w:link w:val="6"/>
    <w:qFormat/>
    <w:uiPriority w:val="0"/>
    <w:rPr>
      <w:rFonts w:eastAsia="仿宋_GB2312"/>
      <w:kern w:val="2"/>
      <w:sz w:val="32"/>
    </w:rPr>
  </w:style>
  <w:style w:type="character" w:customStyle="1" w:styleId="21">
    <w:name w:val="正文文本缩进 Char"/>
    <w:link w:val="5"/>
    <w:qFormat/>
    <w:uiPriority w:val="0"/>
    <w:rPr>
      <w:rFonts w:eastAsia="仿宋_GB2312"/>
      <w:kern w:val="2"/>
      <w:sz w:val="32"/>
    </w:rPr>
  </w:style>
  <w:style w:type="character" w:customStyle="1" w:styleId="22">
    <w:name w:val="正文首行缩进 2 Char"/>
    <w:link w:val="7"/>
    <w:qFormat/>
    <w:uiPriority w:val="0"/>
    <w:rPr>
      <w:rFonts w:eastAsia="仿宋_GB2312"/>
      <w:kern w:val="2"/>
      <w:sz w:val="32"/>
    </w:rPr>
  </w:style>
  <w:style w:type="character" w:customStyle="1" w:styleId="23">
    <w:name w:val="批注框文本 Char"/>
    <w:basedOn w:val="13"/>
    <w:link w:val="8"/>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inrun</Company>
  <Pages>18</Pages>
  <Words>1916</Words>
  <Characters>10927</Characters>
  <Lines>91</Lines>
  <Paragraphs>25</Paragraphs>
  <TotalTime>6</TotalTime>
  <ScaleCrop>false</ScaleCrop>
  <LinksUpToDate>false</LinksUpToDate>
  <CharactersWithSpaces>12818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2023-08-09T21:56:00Z</dcterms:created>
  <dc:creator>陈雪凤主任科员</dc:creator>
  <cp:lastModifiedBy>白桦</cp:lastModifiedBy>
  <cp:lastPrinted>2004-07-02T19:25:00Z</cp:lastPrinted>
  <dcterms:modified xsi:type="dcterms:W3CDTF">2023-08-11T06:59:03Z</dcterms:modified>
  <dc:title>浙交(上行)</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C00F0A378BA3477DAE919EFA5493BF05_12</vt:lpwstr>
  </property>
</Properties>
</file>