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294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</w:rPr>
        <w:t>附件</w:t>
      </w:r>
    </w:p>
    <w:p>
      <w:pPr>
        <w:pStyle w:val="2"/>
        <w:spacing w:beforeLines="0" w:afterLines="0" w:line="580" w:lineRule="exact"/>
      </w:pPr>
    </w:p>
    <w:p>
      <w:pPr>
        <w:pStyle w:val="7"/>
        <w:spacing w:before="0" w:beforeAutospacing="0" w:after="0" w:afterAutospacing="0" w:line="580" w:lineRule="exact"/>
        <w:jc w:val="center"/>
        <w:rPr>
          <w:rFonts w:ascii="方正小标宋简体" w:hAnsi="黑体" w:eastAsia="方正小标宋简体" w:cs="Times New Roman"/>
          <w:color w:val="000000"/>
          <w:sz w:val="40"/>
          <w:szCs w:val="32"/>
        </w:rPr>
      </w:pPr>
      <w:r>
        <w:rPr>
          <w:rFonts w:hint="eastAsia" w:ascii="方正小标宋简体" w:hAnsi="黑体" w:eastAsia="方正小标宋简体" w:cs="Times New Roman"/>
          <w:color w:val="000000"/>
          <w:sz w:val="40"/>
          <w:szCs w:val="32"/>
        </w:rPr>
        <w:t>“以案释法”微视频征集要求</w:t>
      </w:r>
    </w:p>
    <w:p>
      <w:pPr>
        <w:pStyle w:val="7"/>
        <w:spacing w:before="0" w:beforeAutospacing="0" w:after="0" w:afterAutospacing="0" w:line="580" w:lineRule="exact"/>
        <w:jc w:val="center"/>
        <w:rPr>
          <w:rFonts w:ascii="仿宋_GB2312" w:eastAsia="仿宋_GB2312" w:cs="Times New Roman"/>
          <w:color w:val="000000"/>
          <w:kern w:val="2"/>
          <w:sz w:val="32"/>
          <w:szCs w:val="32"/>
        </w:rPr>
      </w:pPr>
    </w:p>
    <w:p>
      <w:pPr>
        <w:pStyle w:val="7"/>
        <w:spacing w:before="0" w:beforeAutospacing="0" w:after="0" w:afterAutospacing="0" w:line="580" w:lineRule="exact"/>
        <w:ind w:firstLine="556" w:firstLineChars="177"/>
        <w:jc w:val="both"/>
        <w:rPr>
          <w:rFonts w:asci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</w:rPr>
        <w:t>“以案释法”微视频要求注重政治性、思想性、法治性、艺术性相统一，传播正能量，内容健康、积极向上。作品表现形式可以是用小案例诠释大道理，也可以是对法条的多样化解读配套案例；可以是对执法现场的模拟，也可以是执法案件承办人员解读案件办理过程中的证据采集、执法程序把控、裁量说理</w:t>
      </w:r>
      <w:r>
        <w:rPr>
          <w:rFonts w:ascii="仿宋_GB2312" w:eastAsia="仿宋_GB2312" w:cs="Times New Roman"/>
          <w:color w:val="000000"/>
          <w:kern w:val="2"/>
          <w:sz w:val="32"/>
          <w:szCs w:val="32"/>
        </w:rPr>
        <w:t>；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</w:rPr>
        <w:t>可以是发挥示范作用的正面导向型案例，也可以是起到警示作用问题</w:t>
      </w:r>
      <w:r>
        <w:rPr>
          <w:rFonts w:ascii="仿宋_GB2312" w:eastAsia="仿宋_GB2312" w:cs="Times New Roman"/>
          <w:color w:val="000000"/>
          <w:kern w:val="2"/>
          <w:sz w:val="32"/>
          <w:szCs w:val="32"/>
        </w:rPr>
        <w:t>的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</w:rPr>
        <w:t>纠错型案例。微视频（含短视频、音乐MV），其中短视频时长1分钟之内，原创音乐MV及其他微视频时长5分钟之内，分辨率：1920x1080，格式：mp4。</w:t>
      </w:r>
    </w:p>
    <w:p>
      <w:pPr>
        <w:pStyle w:val="7"/>
        <w:spacing w:before="0" w:beforeAutospacing="0" w:after="0" w:afterAutospacing="0" w:line="580" w:lineRule="exact"/>
        <w:ind w:firstLine="628" w:firstLineChars="200"/>
        <w:jc w:val="both"/>
        <w:rPr>
          <w:rFonts w:asci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</w:rPr>
        <w:t>报送作品应当为本人或本单位原创作品，并对该作品的整体及局部均拥有独立、完整、明确、无争议的著作权。主办方不承担包括因肖像权、名誉权、隐私权、著作权、商标权等纠纷而产生的法律责任。作者在报送作品后即视为许可主办方以公益宣传为目的，使用或授权给第三方无偿使用该作品，作者保留作品的署名权和自行使用权。</w:t>
      </w:r>
    </w:p>
    <w:p>
      <w:pPr>
        <w:spacing w:line="580" w:lineRule="exact"/>
        <w:ind w:right="1294"/>
        <w:rPr>
          <w:rFonts w:hint="eastAsia" w:ascii="仿宋_GB231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A6F55"/>
    <w:rsid w:val="601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2022-04-18T01:57:00Z</dcterms:created>
  <dc:creator>dell</dc:creator>
  <cp:lastModifiedBy>dell</cp:lastModifiedBy>
  <dcterms:modified xsi:type="dcterms:W3CDTF">2022-04-18T01:57:22Z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D5169329E86D41FB9C6C537EC9CC9B2E</vt:lpwstr>
  </property>
</Properties>
</file>