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uppressAutoHyphens/>
        <w:spacing w:after="0" w:line="580" w:lineRule="exact"/>
        <w:ind w:right="125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44"/>
        </w:rPr>
        <w:t>浙江省道路客运和危险货物运输经营者安全等级动态评价标准</w:t>
      </w:r>
      <w:bookmarkEnd w:id="0"/>
    </w:p>
    <w:tbl>
      <w:tblPr>
        <w:tblStyle w:val="4"/>
        <w:tblW w:w="8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27"/>
        <w:gridCol w:w="927"/>
        <w:gridCol w:w="603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  <w:tblHeader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一类指标</w:t>
            </w: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二类指标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bidi="ar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１</w:t>
            </w:r>
          </w:p>
        </w:tc>
        <w:tc>
          <w:tcPr>
            <w:tcW w:w="92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安全生产基础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（20分）</w:t>
            </w: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安全管理机构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①未按规定设置安全管理机构的，扣5分；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②企业主要负责人、安全管理员未按规定持有安全考核合格证明或者注册安全工程师（道路运输安全）执业资格的，扣5分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③未按规定配备专职安全员的，扣5分；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④未按规定配备专职监控人员的，扣5分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２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安全生产投入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①未达到规定提取安全生产经费的，每次扣1分；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②未按照规定使用安全生产经费的，每次扣1分；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③未按规定建立安全生产经费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使用台账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的，每次扣1分。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３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安全生产责任体系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①未按规定建立健全安全生产管理制度的，每发现1次扣1分；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②未建立并落实风险和隐患双重预防机制的，每发现1次扣1分；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③未按规定开展安全生产标准化建设的，每发现1次扣1分。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４</w:t>
            </w:r>
          </w:p>
        </w:tc>
        <w:tc>
          <w:tcPr>
            <w:tcW w:w="92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安全生产动态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（60分）</w:t>
            </w: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经营行为异常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（评价周期内企业异常数/该企业当前营运车辆总数×100%）为零的，不扣分；每增加5%，扣1分，不到5%的按5%计。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５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驾驶人员安全码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状态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评价周期内，存在驾驶人员变为黄码的，每人次扣1分；变为红码的，每次扣2分，扣完为止。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６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交通部门查处违章率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交通部门查处违章按10×（评价周期内交通部门查处违章车辆数/车辆总数）扣分，违章案件按照处罚金额赋予相应权重，其中：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①处罚金额30000元（含）以上的，按照300%权重计算违章车辆数；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②处罚金额3000元（含）-30000元（不含）之间的，按照200%权重计算违章车辆数；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③处罚金额800元（含）-3000元（不含）之间的，按照100%权重计算违章车辆数；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④处罚金额800元（不含）以下的，按照50%权重计算违章车辆数。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７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公安部门查处违章率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公安部门查处违章按10×（评价周期内公安部门查处违章车辆数/车辆总数）扣分，其中：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①扣分6分（含）以上的，按照200%权重计算违章车辆数；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②扣分3分（含）-6分（不含）的，按照100%权重计算违章车辆数；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③扣分低于3分（不含）的，按照50%权重计算违章车辆数。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8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监控员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履职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①按“5×（1-重点线索人工干预率）”扣分；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②检查发现专职动态监控员不在岗的或者工作有失职失察的，发现1次，扣1分；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９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卫星定位装置使用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存在使用卫星定位装置未保持在线的车辆从事经营活动的，每发现1次扣0.5分。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10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智能视频装置使用</w:t>
            </w:r>
          </w:p>
        </w:tc>
        <w:tc>
          <w:tcPr>
            <w:tcW w:w="6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1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按“5×（1-智能监控视频上线率）”扣分。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11</w:t>
            </w:r>
          </w:p>
        </w:tc>
        <w:tc>
          <w:tcPr>
            <w:tcW w:w="9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7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安全生产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隐患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145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①未按规定对从业人员落实安全生产教育培训的，每发现1次扣1分；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②危货运输异地经营，企业存在车辆异地经营满90日的，自满足异地经营条件当季起，按照5×(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起讫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点均在异地的电子运单数量/电子运单总数)扣分；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③存在其他安全生产隐患的，每个扣1分；未按要求完成整改的，每个扣2分。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515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12</w:t>
            </w:r>
          </w:p>
        </w:tc>
        <w:tc>
          <w:tcPr>
            <w:tcW w:w="927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安全生产事故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（20分）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49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安全生产事故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"/>
              </w:rPr>
              <w:t>20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①发生侧翻、失火（自燃）、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泄漏、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爆炸等存在重大风险的有责非亡人事故的，每起扣10分；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②发生次责一般亡人事故的，每起扣5分。</w:t>
            </w:r>
          </w:p>
        </w:tc>
      </w:tr>
    </w:tbl>
    <w:p>
      <w:pPr>
        <w:spacing w:line="240" w:lineRule="exact"/>
        <w:ind w:firstLine="413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备注：1.扣分针对二类指标分值，扣完为止。</w:t>
      </w:r>
    </w:p>
    <w:p>
      <w:pPr>
        <w:spacing w:line="240" w:lineRule="exact"/>
        <w:ind w:firstLine="413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重点线索人工干预率=（企业专职监控员按规定对连续超速、疲劳驾驶等重点动态监控线索的处置数量/企业重点动态监控线索总数）×100%，季度评价时取该季度三个月的平均值。</w:t>
      </w:r>
    </w:p>
    <w:p>
      <w:pPr>
        <w:spacing w:line="240" w:lineRule="exact"/>
        <w:ind w:firstLine="420" w:firstLineChars="200"/>
        <w:jc w:val="left"/>
        <w:rPr>
          <w:rFonts w:ascii="仿宋_GB2312" w:hAnsi="仿宋_GB2312" w:cs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3.智能监控视频上线率=（企业车辆智控监控视频上线数/企业车辆卫星定位设备上线数）×100%，季度评价时取该季度三个月的平均值。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395E75F1"/>
    <w:rsid w:val="395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2023-04-11T06:58:00Z</dcterms:created>
  <dc:creator>小小小葉秋</dc:creator>
  <cp:lastModifiedBy>小小小葉秋</cp:lastModifiedBy>
  <dcterms:modified xsi:type="dcterms:W3CDTF">2023-04-11T06:58:45Z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C473060DF2F04531AC00C9633C52B2D2_11</vt:lpwstr>
  </property>
</Properties>
</file>