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9B0C1" w14:textId="77777777" w:rsidR="001165BD" w:rsidRPr="00FF6063" w:rsidRDefault="001165BD" w:rsidP="001165BD">
      <w:pPr>
        <w:jc w:val="center"/>
        <w:rPr>
          <w:rStyle w:val="title1"/>
          <w:rFonts w:ascii="方正小标宋简体" w:eastAsia="方正小标宋简体"/>
          <w:b w:val="0"/>
          <w:bCs w:val="0"/>
          <w:color w:val="000000"/>
          <w:sz w:val="36"/>
          <w:szCs w:val="36"/>
        </w:rPr>
      </w:pPr>
      <w:r w:rsidRPr="00FF6063">
        <w:rPr>
          <w:rStyle w:val="title1"/>
          <w:rFonts w:ascii="方正小标宋简体" w:eastAsia="方正小标宋简体" w:hint="eastAsia"/>
          <w:b w:val="0"/>
          <w:color w:val="000000"/>
          <w:sz w:val="36"/>
          <w:szCs w:val="36"/>
        </w:rPr>
        <w:t>浙江省科学技术奖</w:t>
      </w:r>
      <w:r w:rsidRPr="00FF6063">
        <w:rPr>
          <w:rStyle w:val="title1"/>
          <w:rFonts w:ascii="方正小标宋简体" w:eastAsia="方正小标宋简体"/>
          <w:b w:val="0"/>
          <w:color w:val="000000"/>
          <w:sz w:val="36"/>
          <w:szCs w:val="36"/>
        </w:rPr>
        <w:t>公示信息表</w:t>
      </w:r>
      <w:r w:rsidRPr="00FF6063">
        <w:rPr>
          <w:rStyle w:val="title1"/>
          <w:rFonts w:ascii="仿宋_GB2312" w:eastAsia="仿宋_GB2312" w:hint="eastAsia"/>
          <w:b w:val="0"/>
          <w:color w:val="000000"/>
          <w:sz w:val="32"/>
          <w:szCs w:val="32"/>
        </w:rPr>
        <w:t>（单位提名）</w:t>
      </w:r>
    </w:p>
    <w:p w14:paraId="3CAEA6D1" w14:textId="270B4098" w:rsidR="001165BD" w:rsidRPr="00FF6063" w:rsidRDefault="001165BD" w:rsidP="001165BD">
      <w:pPr>
        <w:spacing w:line="440" w:lineRule="exact"/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</w:pPr>
      <w:r w:rsidRPr="00FF6063"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提名奖项：科学技术进步奖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</w:tblGrid>
      <w:tr w:rsidR="001165BD" w:rsidRPr="00FF6063" w14:paraId="51A22068" w14:textId="77777777" w:rsidTr="00156898">
        <w:trPr>
          <w:trHeight w:val="647"/>
        </w:trPr>
        <w:tc>
          <w:tcPr>
            <w:tcW w:w="2269" w:type="dxa"/>
            <w:vAlign w:val="center"/>
          </w:tcPr>
          <w:p w14:paraId="13427D70" w14:textId="77777777" w:rsidR="001165BD" w:rsidRPr="00FF6063" w:rsidRDefault="001165BD" w:rsidP="00156898">
            <w:pPr>
              <w:jc w:val="center"/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</w:pPr>
            <w:r w:rsidRPr="00FF6063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 w14:paraId="78D2FF89" w14:textId="7FFAE80E" w:rsidR="001165BD" w:rsidRPr="00FF6063" w:rsidRDefault="00FF6063" w:rsidP="00345EAB">
            <w:pPr>
              <w:spacing w:line="440" w:lineRule="exact"/>
              <w:jc w:val="center"/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8"/>
              </w:rPr>
              <w:t>深长灌注</w:t>
            </w:r>
            <w:proofErr w:type="gramStart"/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8"/>
              </w:rPr>
              <w:t>桩桩端后压浆</w:t>
            </w:r>
            <w:proofErr w:type="gramEnd"/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8"/>
              </w:rPr>
              <w:t>关键技术</w:t>
            </w:r>
          </w:p>
        </w:tc>
      </w:tr>
      <w:tr w:rsidR="001165BD" w:rsidRPr="00FF6063" w14:paraId="42AA41A8" w14:textId="77777777" w:rsidTr="00156898">
        <w:trPr>
          <w:trHeight w:val="561"/>
        </w:trPr>
        <w:tc>
          <w:tcPr>
            <w:tcW w:w="2269" w:type="dxa"/>
            <w:vAlign w:val="center"/>
          </w:tcPr>
          <w:p w14:paraId="53C21683" w14:textId="77777777" w:rsidR="001165BD" w:rsidRPr="00FF6063" w:rsidRDefault="001165BD" w:rsidP="00156898">
            <w:pPr>
              <w:jc w:val="center"/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</w:pPr>
            <w:r w:rsidRPr="00FF6063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 w14:paraId="57E68C89" w14:textId="263E1C35" w:rsidR="001165BD" w:rsidRPr="00FF6063" w:rsidRDefault="00CB6F69" w:rsidP="00345EAB">
            <w:pPr>
              <w:jc w:val="center"/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  <w:szCs w:val="28"/>
              </w:rPr>
            </w:pPr>
            <w:r w:rsidRPr="00FF6063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  <w:szCs w:val="28"/>
              </w:rPr>
              <w:t>二</w:t>
            </w:r>
            <w:r w:rsidR="00470D00" w:rsidRPr="00FF6063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  <w:szCs w:val="28"/>
              </w:rPr>
              <w:t>等</w:t>
            </w:r>
            <w:r w:rsidR="00531DB9" w:rsidRPr="00FF6063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  <w:sz w:val="28"/>
                <w:szCs w:val="28"/>
              </w:rPr>
              <w:t>奖</w:t>
            </w:r>
          </w:p>
        </w:tc>
      </w:tr>
      <w:tr w:rsidR="001165BD" w:rsidRPr="00FF6063" w14:paraId="48F134B1" w14:textId="77777777" w:rsidTr="00156898">
        <w:trPr>
          <w:trHeight w:val="2461"/>
        </w:trPr>
        <w:tc>
          <w:tcPr>
            <w:tcW w:w="2269" w:type="dxa"/>
            <w:vAlign w:val="center"/>
          </w:tcPr>
          <w:p w14:paraId="18A5945D" w14:textId="77777777" w:rsidR="001165BD" w:rsidRPr="00FF6063" w:rsidRDefault="001165BD" w:rsidP="00156898">
            <w:pPr>
              <w:spacing w:line="440" w:lineRule="exact"/>
              <w:jc w:val="center"/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14:paraId="23396E75" w14:textId="77777777" w:rsidR="001165BD" w:rsidRPr="00FF6063" w:rsidRDefault="001165BD" w:rsidP="00156898">
            <w:pPr>
              <w:spacing w:line="440" w:lineRule="exact"/>
              <w:jc w:val="center"/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14:paraId="23332152" w14:textId="2DC72B82" w:rsidR="00470D00" w:rsidRPr="00FF6063" w:rsidRDefault="00470D00" w:rsidP="00FF6063">
            <w:pPr>
              <w:jc w:val="left"/>
              <w:rPr>
                <w:rFonts w:ascii="仿宋_GB2312" w:eastAsia="仿宋_GB2312" w:hAnsi="仿宋" w:cs="仿宋" w:hint="eastAsia"/>
                <w:b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b/>
                <w:bCs/>
                <w:color w:val="000000" w:themeColor="text1"/>
                <w:sz w:val="24"/>
                <w:szCs w:val="24"/>
              </w:rPr>
              <w:t>发明专利</w:t>
            </w:r>
          </w:p>
          <w:p w14:paraId="763A38B6" w14:textId="25D6002B" w:rsidR="00470D00" w:rsidRPr="00FF6063" w:rsidRDefault="00DE2962" w:rsidP="00FF6063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sz w:val="24"/>
                <w:szCs w:val="24"/>
              </w:rPr>
              <w:t>[1]</w:t>
            </w:r>
            <w:r w:rsidR="00470D00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 xml:space="preserve">一种桩底后压浆U </w:t>
            </w:r>
            <w:proofErr w:type="gramStart"/>
            <w:r w:rsidR="00470D00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型管及</w:t>
            </w:r>
            <w:proofErr w:type="gramEnd"/>
            <w:r w:rsidR="00470D00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检测管自动循环装置（CN201510140510.3）</w:t>
            </w:r>
          </w:p>
          <w:p w14:paraId="329E88AB" w14:textId="27C647A2" w:rsidR="00470D00" w:rsidRPr="00FF6063" w:rsidRDefault="00DE2962" w:rsidP="00FF6063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sz w:val="24"/>
                <w:szCs w:val="24"/>
              </w:rPr>
              <w:t>[2]</w:t>
            </w:r>
            <w:r w:rsidR="00470D00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一种悬吊式电动位移量测装置(CN201210555046.0)</w:t>
            </w:r>
          </w:p>
          <w:p w14:paraId="6AF79A98" w14:textId="0F3DA555" w:rsidR="00470D00" w:rsidRPr="00FF6063" w:rsidRDefault="00DE2962" w:rsidP="00FF6063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sz w:val="24"/>
                <w:szCs w:val="24"/>
              </w:rPr>
              <w:t>[3]</w:t>
            </w:r>
            <w:r w:rsidR="00470D00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海上大直径钢管桩桩侧注浆装置及其施工方法 （CN201610591911.5）</w:t>
            </w:r>
          </w:p>
          <w:p w14:paraId="37F2AC62" w14:textId="4EB1376C" w:rsidR="00470D00" w:rsidRPr="00FF6063" w:rsidRDefault="00DE2962" w:rsidP="00FF6063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sz w:val="24"/>
                <w:szCs w:val="24"/>
              </w:rPr>
              <w:t>[4]</w:t>
            </w:r>
            <w:r w:rsidR="00470D00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一种</w:t>
            </w:r>
            <w:proofErr w:type="gramStart"/>
            <w:r w:rsidR="00470D00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桩土负摩</w:t>
            </w:r>
            <w:proofErr w:type="gramEnd"/>
            <w:r w:rsidR="00470D00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阻力的测量装置（CN201210070060.1）</w:t>
            </w:r>
          </w:p>
          <w:p w14:paraId="4CDCF5DD" w14:textId="3A55CCCD" w:rsidR="00470D00" w:rsidRPr="00FF6063" w:rsidRDefault="00470D00" w:rsidP="00FF6063">
            <w:pPr>
              <w:jc w:val="left"/>
              <w:rPr>
                <w:rFonts w:ascii="仿宋_GB2312" w:eastAsia="仿宋_GB2312" w:hAnsi="仿宋" w:cs="仿宋" w:hint="eastAsia"/>
                <w:b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b/>
                <w:bCs/>
                <w:color w:val="000000" w:themeColor="text1"/>
                <w:sz w:val="24"/>
                <w:szCs w:val="24"/>
              </w:rPr>
              <w:t>实用新型专利</w:t>
            </w:r>
          </w:p>
          <w:p w14:paraId="167BB19E" w14:textId="7FA7F921" w:rsidR="00470D00" w:rsidRPr="00FF6063" w:rsidRDefault="00DE2962" w:rsidP="00FF6063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sz w:val="24"/>
                <w:szCs w:val="24"/>
              </w:rPr>
              <w:t>[1]</w:t>
            </w:r>
            <w:r w:rsidR="00470D00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用于钻孔灌注</w:t>
            </w:r>
            <w:proofErr w:type="gramStart"/>
            <w:r w:rsidR="00470D00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桩桩端后压浆</w:t>
            </w:r>
            <w:proofErr w:type="gramEnd"/>
            <w:r w:rsidR="00470D00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施工的伸缩式压浆管(CN201721651778.4)</w:t>
            </w:r>
          </w:p>
          <w:p w14:paraId="7D9A34D9" w14:textId="2EDFBA08" w:rsidR="00470D00" w:rsidRPr="00FF6063" w:rsidRDefault="00470D00" w:rsidP="00FF6063">
            <w:pPr>
              <w:jc w:val="left"/>
              <w:rPr>
                <w:rFonts w:ascii="仿宋_GB2312" w:eastAsia="仿宋_GB2312" w:hAnsi="仿宋" w:cs="仿宋" w:hint="eastAsia"/>
                <w:b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b/>
                <w:bCs/>
                <w:color w:val="000000" w:themeColor="text1"/>
                <w:sz w:val="24"/>
                <w:szCs w:val="24"/>
              </w:rPr>
              <w:t>标准规范目录</w:t>
            </w:r>
          </w:p>
          <w:p w14:paraId="5AA28951" w14:textId="77777777" w:rsidR="00470D00" w:rsidRPr="00FF6063" w:rsidRDefault="00DE2962" w:rsidP="00FF6063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sz w:val="24"/>
                <w:szCs w:val="24"/>
              </w:rPr>
              <w:t>[1]</w:t>
            </w:r>
            <w:r w:rsidR="00470D00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《公路桥梁灌注桩后压浆技术规程》（T/CECS G:D67-01-2018）</w:t>
            </w:r>
          </w:p>
          <w:p w14:paraId="2D0AAC40" w14:textId="77777777" w:rsidR="00C5769E" w:rsidRPr="00FF6063" w:rsidRDefault="00C5769E" w:rsidP="00FF6063">
            <w:pPr>
              <w:jc w:val="left"/>
              <w:rPr>
                <w:rFonts w:ascii="仿宋_GB2312" w:eastAsia="仿宋_GB2312" w:hAnsi="仿宋" w:cs="仿宋" w:hint="eastAsia"/>
                <w:b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b/>
                <w:bCs/>
                <w:color w:val="000000" w:themeColor="text1"/>
                <w:sz w:val="24"/>
                <w:szCs w:val="24"/>
              </w:rPr>
              <w:t>代表性论文</w:t>
            </w:r>
          </w:p>
          <w:p w14:paraId="72A5F96A" w14:textId="531DA98D" w:rsidR="00C5769E" w:rsidRPr="00FF6063" w:rsidRDefault="001C7BBB" w:rsidP="00FF6063">
            <w:pPr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sz w:val="24"/>
                <w:szCs w:val="24"/>
              </w:rPr>
              <w:t>[1]</w:t>
            </w:r>
            <w:r w:rsidR="00C5769E" w:rsidRPr="00FF6063">
              <w:rPr>
                <w:rFonts w:ascii="仿宋_GB2312" w:eastAsia="仿宋_GB2312" w:hAnsi="仿宋" w:cs="仿宋" w:hint="eastAsia"/>
                <w:sz w:val="24"/>
                <w:szCs w:val="24"/>
              </w:rPr>
              <w:t>基于自平衡法后压浆灌注桩荷载传递函数的变化分析</w:t>
            </w:r>
            <w:r w:rsidRPr="00FF6063">
              <w:rPr>
                <w:rFonts w:ascii="仿宋_GB2312" w:eastAsia="仿宋_GB2312" w:hAnsi="仿宋" w:cs="仿宋" w:hint="eastAsia"/>
                <w:sz w:val="24"/>
                <w:szCs w:val="24"/>
              </w:rPr>
              <w:t>（土木工程学报）</w:t>
            </w:r>
          </w:p>
          <w:p w14:paraId="29A52E31" w14:textId="16CBB50A" w:rsidR="00C5769E" w:rsidRPr="00FF6063" w:rsidRDefault="001C7BBB" w:rsidP="00FF6063">
            <w:pPr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sz w:val="24"/>
                <w:szCs w:val="24"/>
              </w:rPr>
              <w:t>[2]乐清湾</w:t>
            </w:r>
            <w:proofErr w:type="gramStart"/>
            <w:r w:rsidRPr="00FF6063">
              <w:rPr>
                <w:rFonts w:ascii="仿宋_GB2312" w:eastAsia="仿宋_GB2312" w:hAnsi="仿宋" w:cs="仿宋" w:hint="eastAsia"/>
                <w:sz w:val="24"/>
                <w:szCs w:val="24"/>
              </w:rPr>
              <w:t>大桥超</w:t>
            </w:r>
            <w:proofErr w:type="gramEnd"/>
            <w:r w:rsidRPr="00FF6063">
              <w:rPr>
                <w:rFonts w:ascii="仿宋_GB2312" w:eastAsia="仿宋_GB2312" w:hAnsi="仿宋" w:cs="仿宋" w:hint="eastAsia"/>
                <w:sz w:val="24"/>
                <w:szCs w:val="24"/>
              </w:rPr>
              <w:t>长大直径后压浆灌注桩的自平衡试验研究（中国水运）</w:t>
            </w:r>
          </w:p>
          <w:p w14:paraId="7EAD3D9D" w14:textId="332BB111" w:rsidR="001C7BBB" w:rsidRPr="00FF6063" w:rsidRDefault="001C7BBB" w:rsidP="00FF6063">
            <w:pPr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sz w:val="24"/>
                <w:szCs w:val="24"/>
              </w:rPr>
              <w:t>[3]后压浆</w:t>
            </w:r>
            <w:proofErr w:type="gramStart"/>
            <w:r w:rsidRPr="00FF6063">
              <w:rPr>
                <w:rFonts w:ascii="仿宋_GB2312" w:eastAsia="仿宋_GB2312" w:hAnsi="仿宋" w:cs="仿宋" w:hint="eastAsia"/>
                <w:sz w:val="24"/>
                <w:szCs w:val="24"/>
              </w:rPr>
              <w:t>桩增强</w:t>
            </w:r>
            <w:proofErr w:type="gramEnd"/>
            <w:r w:rsidRPr="00FF6063">
              <w:rPr>
                <w:rFonts w:ascii="仿宋_GB2312" w:eastAsia="仿宋_GB2312" w:hAnsi="仿宋" w:cs="仿宋" w:hint="eastAsia"/>
                <w:sz w:val="24"/>
                <w:szCs w:val="24"/>
              </w:rPr>
              <w:t>效应作用机制及荷载沉降关系研究（岩土工程学报）</w:t>
            </w:r>
          </w:p>
          <w:p w14:paraId="4B8A49EA" w14:textId="592C4E72" w:rsidR="001C7BBB" w:rsidRPr="00FF6063" w:rsidRDefault="001C7BBB" w:rsidP="00FF6063">
            <w:pPr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sz w:val="24"/>
                <w:szCs w:val="24"/>
              </w:rPr>
              <w:t>[4]</w:t>
            </w:r>
            <w:proofErr w:type="gramStart"/>
            <w:r w:rsidRPr="00FF6063">
              <w:rPr>
                <w:rFonts w:ascii="仿宋_GB2312" w:eastAsia="仿宋_GB2312" w:hAnsi="仿宋" w:cs="仿宋" w:hint="eastAsia"/>
                <w:sz w:val="24"/>
                <w:szCs w:val="24"/>
              </w:rPr>
              <w:t>桩端后压浆</w:t>
            </w:r>
            <w:proofErr w:type="gramEnd"/>
            <w:r w:rsidRPr="00FF6063">
              <w:rPr>
                <w:rFonts w:ascii="仿宋_GB2312" w:eastAsia="仿宋_GB2312" w:hAnsi="仿宋" w:cs="仿宋" w:hint="eastAsia"/>
                <w:sz w:val="24"/>
                <w:szCs w:val="24"/>
              </w:rPr>
              <w:t>对桩端阻力承载性状的试验研究（岩土工程学报）</w:t>
            </w:r>
          </w:p>
          <w:p w14:paraId="5BCFAB73" w14:textId="2D5CC87E" w:rsidR="001C7BBB" w:rsidRPr="00FF6063" w:rsidRDefault="001C7BBB" w:rsidP="00FF6063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[5]Research of Load Settlement Relationship for Post Grouted Based </w:t>
            </w:r>
            <w:proofErr w:type="spellStart"/>
            <w:r w:rsidRPr="00FF6063">
              <w:rPr>
                <w:rFonts w:ascii="仿宋_GB2312" w:eastAsia="仿宋_GB2312" w:hAnsi="仿宋" w:cs="仿宋" w:hint="eastAsia"/>
                <w:sz w:val="24"/>
                <w:szCs w:val="24"/>
              </w:rPr>
              <w:t>onLoad</w:t>
            </w:r>
            <w:proofErr w:type="spellEnd"/>
            <w:r w:rsidRPr="00FF6063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Transfer Function Method on </w:t>
            </w:r>
            <w:proofErr w:type="spellStart"/>
            <w:r w:rsidRPr="00FF6063">
              <w:rPr>
                <w:rFonts w:ascii="仿宋_GB2312" w:eastAsia="仿宋_GB2312" w:hAnsi="仿宋" w:cs="仿宋" w:hint="eastAsia"/>
                <w:sz w:val="24"/>
                <w:szCs w:val="24"/>
              </w:rPr>
              <w:t>Yueqing</w:t>
            </w:r>
            <w:proofErr w:type="spellEnd"/>
            <w:r w:rsidRPr="00FF6063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Bay Bridge（Bridging the East and West）</w:t>
            </w:r>
          </w:p>
        </w:tc>
      </w:tr>
      <w:tr w:rsidR="001165BD" w:rsidRPr="00FF6063" w14:paraId="6D9595AA" w14:textId="77777777" w:rsidTr="00156898">
        <w:trPr>
          <w:trHeight w:val="195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687F42F0" w14:textId="77777777" w:rsidR="001165BD" w:rsidRPr="00FF6063" w:rsidRDefault="001165BD" w:rsidP="00156898">
            <w:pPr>
              <w:spacing w:line="440" w:lineRule="exact"/>
              <w:jc w:val="center"/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7537ECD1" w14:textId="61DFCC97" w:rsidR="001165BD" w:rsidRPr="00FF6063" w:rsidRDefault="00E61FAF" w:rsidP="00FF6063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陈海君</w:t>
            </w:r>
            <w:r w:rsidR="001165BD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，排名1，</w:t>
            </w: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正高级工程师</w:t>
            </w:r>
            <w:r w:rsidR="001165BD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浙江省交通规划设计研究院有限公司</w:t>
            </w:r>
            <w:r w:rsidR="001165BD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35D307A9" w14:textId="55E48D19" w:rsidR="00E61FAF" w:rsidRPr="00FF6063" w:rsidRDefault="00E61FAF" w:rsidP="00FF6063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陈向阳，排名</w:t>
            </w:r>
            <w:r w:rsidR="001C7BBB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</w:t>
            </w: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，正高级工程师，浙江省交通规划设计研究院有限公司；</w:t>
            </w:r>
          </w:p>
          <w:p w14:paraId="0053BD8B" w14:textId="64BEFAFA" w:rsidR="001C7BBB" w:rsidRPr="00FF6063" w:rsidRDefault="001C7BBB" w:rsidP="00FF6063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龚维明，排名3，教授，东南大学；</w:t>
            </w:r>
          </w:p>
          <w:p w14:paraId="06FF5F5E" w14:textId="4894E269" w:rsidR="001C7BBB" w:rsidRPr="00FF6063" w:rsidRDefault="001C7BBB" w:rsidP="00FF6063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叶楠，排名4，正高级工程师，浙江乐清湾大桥及接线工程建设指挥部；</w:t>
            </w:r>
          </w:p>
          <w:p w14:paraId="08D34F37" w14:textId="3AB9ADF7" w:rsidR="00367241" w:rsidRPr="00FF6063" w:rsidRDefault="00367241" w:rsidP="00FF6063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于雪晖，排名</w:t>
            </w:r>
            <w:r w:rsidR="001C7BBB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5</w:t>
            </w: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，高级工程师，浙江省交通规划设计研究院有限公司；</w:t>
            </w:r>
          </w:p>
          <w:p w14:paraId="4830ACC4" w14:textId="65628552" w:rsidR="00CB6F69" w:rsidRPr="00FF6063" w:rsidRDefault="00CB6F69" w:rsidP="00FF6063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翁玲，排名6，高级工程师，浙江台州市沿海高速公路有限公司；</w:t>
            </w:r>
          </w:p>
          <w:p w14:paraId="218A2E67" w14:textId="435CAF9F" w:rsidR="00E61FAF" w:rsidRPr="00FF6063" w:rsidRDefault="00E61FAF" w:rsidP="00FF6063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张牧，排名</w:t>
            </w:r>
            <w:r w:rsidR="00CB6F69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7</w:t>
            </w: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，高级工程师，</w:t>
            </w:r>
            <w:r w:rsidR="00C05795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浙江乐清湾大桥及接线工程</w:t>
            </w:r>
            <w:r w:rsidR="00C05795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lastRenderedPageBreak/>
              <w:t>建设指挥部</w:t>
            </w:r>
            <w:r w:rsidR="001C6477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0CEC011A" w14:textId="6419756E" w:rsidR="00CB6F69" w:rsidRPr="00FF6063" w:rsidRDefault="00CB6F69" w:rsidP="00FF6063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秦小华，排名8，高级工程师，浙江台州市沿海高速公路有限公司；</w:t>
            </w:r>
          </w:p>
          <w:p w14:paraId="311AD622" w14:textId="7FF16F92" w:rsidR="001165BD" w:rsidRPr="00FF6063" w:rsidRDefault="00367241" w:rsidP="00FF6063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李响，排名</w:t>
            </w:r>
            <w:r w:rsidR="00CB6F69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9</w:t>
            </w: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，高级工程师，中交一公局第二工程有限公司；</w:t>
            </w:r>
          </w:p>
        </w:tc>
      </w:tr>
      <w:tr w:rsidR="001165BD" w:rsidRPr="00FF6063" w14:paraId="615C565A" w14:textId="77777777" w:rsidTr="00156898">
        <w:trPr>
          <w:trHeight w:val="198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1E9B8742" w14:textId="77777777" w:rsidR="001165BD" w:rsidRPr="00FF6063" w:rsidRDefault="001165BD" w:rsidP="00156898">
            <w:pPr>
              <w:spacing w:line="440" w:lineRule="exact"/>
              <w:jc w:val="center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lastRenderedPageBreak/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4FA0A30D" w14:textId="107B35D5" w:rsidR="001165BD" w:rsidRPr="00FF6063" w:rsidRDefault="001165BD" w:rsidP="00FF6063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1.单位名称：</w:t>
            </w:r>
            <w:r w:rsidR="00C45DEF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浙江省交通规划设计研究院有限公司</w:t>
            </w:r>
            <w:r w:rsidR="003070B7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609C0CC7" w14:textId="17A1E3A0" w:rsidR="001165BD" w:rsidRPr="00FF6063" w:rsidRDefault="001165BD" w:rsidP="00FF6063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2.单位名称：</w:t>
            </w:r>
            <w:r w:rsidR="001C6477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浙江乐清湾高速公路有限公司；</w:t>
            </w:r>
          </w:p>
          <w:p w14:paraId="54D33AA4" w14:textId="617C9FB8" w:rsidR="00C45DEF" w:rsidRPr="00FF6063" w:rsidRDefault="00C45DEF" w:rsidP="00FF6063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3.单位名称：</w:t>
            </w:r>
            <w:r w:rsidR="001C6477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浙江台州市沿海高速公路有限公司；</w:t>
            </w:r>
          </w:p>
          <w:p w14:paraId="467D8EC7" w14:textId="2E2D073B" w:rsidR="00C45DEF" w:rsidRPr="00FF6063" w:rsidRDefault="00C45DEF" w:rsidP="00FF6063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4.单位名称：东南大学</w:t>
            </w:r>
            <w:r w:rsidR="003070B7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14:paraId="5339897D" w14:textId="0BB00470" w:rsidR="00C45DEF" w:rsidRPr="00FF6063" w:rsidRDefault="00C45DEF" w:rsidP="00FF6063">
            <w:pPr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5.单位名称：中交一公局第二工程有限公司</w:t>
            </w:r>
          </w:p>
        </w:tc>
      </w:tr>
      <w:tr w:rsidR="001165BD" w:rsidRPr="00FF6063" w14:paraId="1ABCB44F" w14:textId="77777777" w:rsidTr="00156898">
        <w:trPr>
          <w:trHeight w:val="692"/>
        </w:trPr>
        <w:tc>
          <w:tcPr>
            <w:tcW w:w="2269" w:type="dxa"/>
            <w:vAlign w:val="center"/>
          </w:tcPr>
          <w:p w14:paraId="2E69A1A6" w14:textId="77777777" w:rsidR="001165BD" w:rsidRPr="00FF6063" w:rsidRDefault="001165BD" w:rsidP="00156898">
            <w:pPr>
              <w:jc w:val="center"/>
              <w:rPr>
                <w:rStyle w:val="title1"/>
                <w:rFonts w:ascii="仿宋_GB2312" w:eastAsia="仿宋_GB2312" w:hAnsi="仿宋" w:hint="eastAsia"/>
                <w:b w:val="0"/>
                <w:color w:val="000000"/>
                <w:sz w:val="28"/>
                <w:szCs w:val="28"/>
              </w:rPr>
            </w:pPr>
            <w:r w:rsidRPr="00FF6063">
              <w:rPr>
                <w:rStyle w:val="title1"/>
                <w:rFonts w:ascii="仿宋_GB2312" w:eastAsia="仿宋_GB2312" w:hAnsi="仿宋" w:hint="eastAsia"/>
                <w:b w:val="0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14:paraId="256B26D0" w14:textId="482C8F18" w:rsidR="001165BD" w:rsidRPr="00FF6063" w:rsidRDefault="00C45DEF" w:rsidP="00FF6063">
            <w:pPr>
              <w:jc w:val="center"/>
              <w:rPr>
                <w:rFonts w:ascii="仿宋_GB2312" w:eastAsia="仿宋_GB2312" w:hAnsi="仿宋" w:cs="仿宋" w:hint="eastAsia"/>
                <w:color w:val="000000" w:themeColor="text1"/>
              </w:rPr>
            </w:pP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浙江省交通</w:t>
            </w:r>
            <w:r w:rsidR="00DE2962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运输厅</w:t>
            </w:r>
          </w:p>
        </w:tc>
      </w:tr>
      <w:tr w:rsidR="001165BD" w:rsidRPr="00FF6063" w14:paraId="1A34D077" w14:textId="77777777" w:rsidTr="00FF6063">
        <w:trPr>
          <w:trHeight w:val="3685"/>
        </w:trPr>
        <w:tc>
          <w:tcPr>
            <w:tcW w:w="2269" w:type="dxa"/>
            <w:vAlign w:val="center"/>
          </w:tcPr>
          <w:p w14:paraId="545DFDC2" w14:textId="77777777" w:rsidR="001165BD" w:rsidRPr="00FF6063" w:rsidRDefault="001165BD" w:rsidP="00156898">
            <w:pPr>
              <w:jc w:val="center"/>
              <w:rPr>
                <w:rStyle w:val="title1"/>
                <w:rFonts w:ascii="仿宋_GB2312" w:eastAsia="仿宋_GB2312" w:hAnsi="仿宋" w:hint="eastAsia"/>
                <w:b w:val="0"/>
                <w:color w:val="000000"/>
                <w:sz w:val="28"/>
                <w:szCs w:val="28"/>
              </w:rPr>
            </w:pPr>
            <w:r w:rsidRPr="00FF6063">
              <w:rPr>
                <w:rStyle w:val="title1"/>
                <w:rFonts w:ascii="仿宋_GB2312" w:eastAsia="仿宋_GB2312" w:hAnsi="仿宋" w:hint="eastAsia"/>
                <w:b w:val="0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 w14:paraId="3ABE505D" w14:textId="17E6EB26" w:rsidR="000612E3" w:rsidRPr="00FF6063" w:rsidRDefault="000612E3" w:rsidP="00FF6063">
            <w:pPr>
              <w:ind w:firstLineChars="200" w:firstLine="480"/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该</w:t>
            </w:r>
            <w:r w:rsidR="00C45DEF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项目对深长灌注</w:t>
            </w:r>
            <w:proofErr w:type="gramStart"/>
            <w:r w:rsidR="00C45DEF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桩桩端后压浆</w:t>
            </w:r>
            <w:proofErr w:type="gramEnd"/>
            <w:r w:rsidR="00C45DEF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关键技术进行研究，提出了一套系统、完善、先进的施工工艺，</w:t>
            </w: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研究成果在乐清湾大桥及接线工程应用</w:t>
            </w:r>
            <w:proofErr w:type="gramStart"/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桩端后压浆</w:t>
            </w:r>
            <w:proofErr w:type="gramEnd"/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摩擦桩共3486根，节约造价约59</w:t>
            </w:r>
            <w:r w:rsid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00</w:t>
            </w: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万元；在台州湾大桥及接线工程应用</w:t>
            </w:r>
            <w:proofErr w:type="gramStart"/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桩端后压浆</w:t>
            </w:r>
            <w:proofErr w:type="gramEnd"/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摩擦桩共10415根，节约造价约13788万元。</w:t>
            </w:r>
          </w:p>
          <w:p w14:paraId="0325928E" w14:textId="0226D06A" w:rsidR="001165BD" w:rsidRPr="00FF6063" w:rsidRDefault="000612E3" w:rsidP="00FF6063">
            <w:pPr>
              <w:ind w:firstLineChars="200" w:firstLine="480"/>
              <w:jc w:val="lef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该</w:t>
            </w:r>
            <w:r w:rsid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成果对滨海软土地区的桥梁基础设计、施工和检测具有重要的指导作用，</w:t>
            </w:r>
            <w:r w:rsidR="00C45DEF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对今后类似地质条件的后压浆桩基础设计和施工具有重要的</w:t>
            </w:r>
            <w:r w:rsid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参考价值，应用前景</w:t>
            </w:r>
            <w:r w:rsidR="00C45DEF" w:rsidRPr="00FF60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广阔。</w:t>
            </w:r>
          </w:p>
          <w:p w14:paraId="34DCEB1F" w14:textId="5E581D7E" w:rsidR="000612E3" w:rsidRPr="00FF6063" w:rsidRDefault="00FF6063" w:rsidP="00FF6063">
            <w:pPr>
              <w:ind w:firstLineChars="200" w:firstLine="488"/>
              <w:jc w:val="left"/>
              <w:rPr>
                <w:rFonts w:ascii="仿宋_GB2312" w:eastAsia="仿宋_GB2312" w:hAnsi="仿宋" w:cs="仿宋" w:hint="eastAsia"/>
                <w:color w:val="000000" w:themeColor="text1"/>
              </w:rPr>
            </w:pPr>
            <w:r w:rsidRPr="00FF6063">
              <w:rPr>
                <w:rFonts w:ascii="仿宋_GB2312" w:eastAsia="仿宋_GB2312" w:hAnsi="宋体" w:hint="eastAsia"/>
                <w:bCs/>
                <w:color w:val="000000"/>
                <w:spacing w:val="2"/>
                <w:sz w:val="24"/>
              </w:rPr>
              <w:t>提名该成果为浙江省科学技术进步奖</w:t>
            </w:r>
            <w:r>
              <w:rPr>
                <w:rFonts w:ascii="仿宋_GB2312" w:eastAsia="仿宋_GB2312" w:hint="eastAsia"/>
                <w:bCs/>
                <w:color w:val="000000"/>
                <w:spacing w:val="2"/>
                <w:sz w:val="24"/>
              </w:rPr>
              <w:t>二</w:t>
            </w:r>
            <w:r w:rsidRPr="00FF6063">
              <w:rPr>
                <w:rFonts w:ascii="仿宋_GB2312" w:eastAsia="仿宋_GB2312" w:hAnsi="宋体" w:hint="eastAsia"/>
                <w:bCs/>
                <w:color w:val="000000"/>
                <w:spacing w:val="2"/>
                <w:sz w:val="24"/>
              </w:rPr>
              <w:t>等奖</w:t>
            </w:r>
          </w:p>
        </w:tc>
      </w:tr>
    </w:tbl>
    <w:p w14:paraId="0969699B" w14:textId="77777777" w:rsidR="00526F20" w:rsidRPr="00FF6063" w:rsidRDefault="00526F20">
      <w:bookmarkStart w:id="0" w:name="_GoBack"/>
      <w:bookmarkEnd w:id="0"/>
    </w:p>
    <w:sectPr w:rsidR="00526F20" w:rsidRPr="00FF6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1A19E" w14:textId="77777777" w:rsidR="0081018E" w:rsidRDefault="0081018E" w:rsidP="00470D00">
      <w:r>
        <w:separator/>
      </w:r>
    </w:p>
  </w:endnote>
  <w:endnote w:type="continuationSeparator" w:id="0">
    <w:p w14:paraId="0FD565B2" w14:textId="77777777" w:rsidR="0081018E" w:rsidRDefault="0081018E" w:rsidP="0047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72310" w14:textId="77777777" w:rsidR="0081018E" w:rsidRDefault="0081018E" w:rsidP="00470D00">
      <w:r>
        <w:separator/>
      </w:r>
    </w:p>
  </w:footnote>
  <w:footnote w:type="continuationSeparator" w:id="0">
    <w:p w14:paraId="61624B2C" w14:textId="77777777" w:rsidR="0081018E" w:rsidRDefault="0081018E" w:rsidP="00470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760DD"/>
    <w:multiLevelType w:val="hybridMultilevel"/>
    <w:tmpl w:val="C5E0AF3C"/>
    <w:lvl w:ilvl="0" w:tplc="FC3882B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88"/>
    <w:rsid w:val="00045988"/>
    <w:rsid w:val="000612E3"/>
    <w:rsid w:val="0007160E"/>
    <w:rsid w:val="000A443E"/>
    <w:rsid w:val="000B0F22"/>
    <w:rsid w:val="000B7BD3"/>
    <w:rsid w:val="000D2EBD"/>
    <w:rsid w:val="000F545F"/>
    <w:rsid w:val="00112539"/>
    <w:rsid w:val="001165BD"/>
    <w:rsid w:val="00131FF6"/>
    <w:rsid w:val="0015122D"/>
    <w:rsid w:val="001534D2"/>
    <w:rsid w:val="001B6A21"/>
    <w:rsid w:val="001C6477"/>
    <w:rsid w:val="001C7BBB"/>
    <w:rsid w:val="00256B37"/>
    <w:rsid w:val="00272107"/>
    <w:rsid w:val="00281D7F"/>
    <w:rsid w:val="00296D32"/>
    <w:rsid w:val="002D2214"/>
    <w:rsid w:val="002D6887"/>
    <w:rsid w:val="00304201"/>
    <w:rsid w:val="003070B7"/>
    <w:rsid w:val="00345EAB"/>
    <w:rsid w:val="0034606A"/>
    <w:rsid w:val="00367241"/>
    <w:rsid w:val="003D5757"/>
    <w:rsid w:val="00410012"/>
    <w:rsid w:val="00410BB4"/>
    <w:rsid w:val="00470D00"/>
    <w:rsid w:val="004B1095"/>
    <w:rsid w:val="00526F20"/>
    <w:rsid w:val="00531DB9"/>
    <w:rsid w:val="00547BB8"/>
    <w:rsid w:val="005519F5"/>
    <w:rsid w:val="005A3503"/>
    <w:rsid w:val="00650893"/>
    <w:rsid w:val="0065737F"/>
    <w:rsid w:val="00657931"/>
    <w:rsid w:val="00717B4C"/>
    <w:rsid w:val="00774D70"/>
    <w:rsid w:val="00780DF6"/>
    <w:rsid w:val="007A0EB6"/>
    <w:rsid w:val="0081018E"/>
    <w:rsid w:val="008412AC"/>
    <w:rsid w:val="00892B71"/>
    <w:rsid w:val="008B1162"/>
    <w:rsid w:val="008B14F4"/>
    <w:rsid w:val="00920ED3"/>
    <w:rsid w:val="00922FE6"/>
    <w:rsid w:val="00947C8C"/>
    <w:rsid w:val="00964296"/>
    <w:rsid w:val="009C2C28"/>
    <w:rsid w:val="00A2641F"/>
    <w:rsid w:val="00A75476"/>
    <w:rsid w:val="00AF647B"/>
    <w:rsid w:val="00B43AD9"/>
    <w:rsid w:val="00BB0A08"/>
    <w:rsid w:val="00C05795"/>
    <w:rsid w:val="00C454AB"/>
    <w:rsid w:val="00C45DEF"/>
    <w:rsid w:val="00C5769E"/>
    <w:rsid w:val="00CB6F69"/>
    <w:rsid w:val="00CC14A1"/>
    <w:rsid w:val="00D242CA"/>
    <w:rsid w:val="00DA59FC"/>
    <w:rsid w:val="00DE2962"/>
    <w:rsid w:val="00DF057B"/>
    <w:rsid w:val="00E36059"/>
    <w:rsid w:val="00E367E4"/>
    <w:rsid w:val="00E415B3"/>
    <w:rsid w:val="00E45275"/>
    <w:rsid w:val="00E55829"/>
    <w:rsid w:val="00E61FAF"/>
    <w:rsid w:val="00EC2DAE"/>
    <w:rsid w:val="00F15F47"/>
    <w:rsid w:val="00F6761C"/>
    <w:rsid w:val="00FC5B5A"/>
    <w:rsid w:val="00FF0C0B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F6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qFormat/>
    <w:rsid w:val="001165BD"/>
    <w:rPr>
      <w:b/>
      <w:bCs/>
      <w:color w:val="9999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70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D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D0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70D0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672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724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qFormat/>
    <w:rsid w:val="001165BD"/>
    <w:rPr>
      <w:b/>
      <w:bCs/>
      <w:color w:val="9999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70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D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D0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70D0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672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72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黄颖</cp:lastModifiedBy>
  <cp:revision>25</cp:revision>
  <cp:lastPrinted>2020-09-23T03:15:00Z</cp:lastPrinted>
  <dcterms:created xsi:type="dcterms:W3CDTF">2020-09-24T07:45:00Z</dcterms:created>
  <dcterms:modified xsi:type="dcterms:W3CDTF">2020-09-25T00:35:00Z</dcterms:modified>
</cp:coreProperties>
</file>