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宋体" w:hAnsi="宋体" w:eastAsia="宋体" w:cs="宋体"/>
          <w:color w:val="auto"/>
          <w:highlight w:val="none"/>
        </w:rPr>
      </w:pPr>
      <w:bookmarkStart w:id="0" w:name="_Toc21993"/>
      <w:bookmarkStart w:id="1" w:name="_Toc1081"/>
      <w:bookmarkStart w:id="2" w:name="_Toc28711"/>
      <w:bookmarkStart w:id="3" w:name="_Toc2813"/>
      <w:bookmarkStart w:id="4" w:name="_Toc20908"/>
      <w:bookmarkStart w:id="5" w:name="_Toc13408"/>
      <w:r>
        <w:rPr>
          <w:rFonts w:hint="eastAsia" w:ascii="宋体" w:hAnsi="宋体" w:eastAsia="宋体" w:cs="宋体"/>
          <w:color w:val="auto"/>
          <w:highlight w:val="none"/>
        </w:rPr>
        <w:t>附录1 资格审查条件（资质最低条件）</w:t>
      </w:r>
      <w:bookmarkEnd w:id="0"/>
      <w:bookmarkEnd w:id="1"/>
      <w:bookmarkEnd w:id="2"/>
      <w:bookmarkEnd w:id="3"/>
      <w:bookmarkEnd w:id="4"/>
      <w:bookmarkEnd w:id="5"/>
    </w:p>
    <w:p>
      <w:pPr>
        <w:pStyle w:val="12"/>
        <w:rPr>
          <w:rFonts w:hint="eastAsia" w:ascii="宋体" w:hAnsi="宋体" w:cs="宋体"/>
          <w:color w:val="auto"/>
          <w:sz w:val="24"/>
          <w:highlight w:val="none"/>
        </w:rPr>
      </w:pPr>
    </w:p>
    <w:tbl>
      <w:tblPr>
        <w:tblStyle w:val="8"/>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80" w:type="dxa"/>
            <w:noWrap w:val="0"/>
            <w:vAlign w:val="center"/>
          </w:tcPr>
          <w:p>
            <w:pPr>
              <w:pStyle w:val="12"/>
              <w:jc w:val="center"/>
              <w:rPr>
                <w:rFonts w:hint="eastAsia" w:ascii="宋体" w:hAnsi="宋体" w:cs="宋体"/>
                <w:color w:val="auto"/>
                <w:sz w:val="28"/>
                <w:szCs w:val="28"/>
                <w:highlight w:val="none"/>
              </w:rPr>
            </w:pPr>
            <w:bookmarkStart w:id="6" w:name="_Toc267559605"/>
            <w:r>
              <w:rPr>
                <w:rFonts w:hint="eastAsia" w:ascii="宋体" w:hAnsi="宋体" w:cs="宋体"/>
                <w:color w:val="auto"/>
                <w:sz w:val="28"/>
                <w:szCs w:val="28"/>
                <w:highlight w:val="none"/>
              </w:rPr>
              <w:t>施工企业资质等级要求</w:t>
            </w:r>
            <w:bookmarkEnd w:id="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9180" w:type="dxa"/>
            <w:noWrap w:val="0"/>
            <w:vAlign w:val="center"/>
          </w:tcPr>
          <w:p>
            <w:pPr>
              <w:pStyle w:val="12"/>
              <w:spacing w:line="360" w:lineRule="auto"/>
              <w:rPr>
                <w:rFonts w:hint="eastAsia" w:ascii="宋体" w:hAnsi="宋体" w:cs="宋体"/>
                <w:color w:val="auto"/>
                <w:szCs w:val="21"/>
                <w:highlight w:val="none"/>
              </w:rPr>
            </w:pPr>
            <w:bookmarkStart w:id="7" w:name="_Toc267559606"/>
          </w:p>
          <w:p>
            <w:pPr>
              <w:pStyle w:val="12"/>
              <w:spacing w:line="360" w:lineRule="auto"/>
              <w:ind w:firstLine="315" w:firstLineChars="150"/>
              <w:jc w:val="center"/>
              <w:rPr>
                <w:rFonts w:hint="eastAsia" w:ascii="宋体" w:hAnsi="宋体" w:cs="宋体"/>
                <w:color w:val="auto"/>
                <w:szCs w:val="21"/>
                <w:highlight w:val="none"/>
              </w:rPr>
            </w:pPr>
            <w:r>
              <w:rPr>
                <w:rFonts w:hint="eastAsia" w:ascii="宋体" w:hAnsi="宋体" w:cs="宋体"/>
                <w:color w:val="auto"/>
                <w:szCs w:val="21"/>
                <w:highlight w:val="none"/>
              </w:rPr>
              <w:t>投标人应具备独立法人资格，</w:t>
            </w:r>
            <w:r>
              <w:rPr>
                <w:rFonts w:hint="eastAsia" w:ascii="宋体" w:hAnsi="宋体" w:cs="宋体"/>
                <w:b/>
                <w:bCs/>
                <w:color w:val="auto"/>
                <w:szCs w:val="21"/>
                <w:highlight w:val="none"/>
              </w:rPr>
              <w:t>港口与航道工程施工总承包贰级</w:t>
            </w:r>
            <w:r>
              <w:rPr>
                <w:rFonts w:hint="eastAsia" w:ascii="宋体" w:hAnsi="宋体" w:cs="宋体"/>
                <w:color w:val="auto"/>
                <w:szCs w:val="21"/>
                <w:highlight w:val="none"/>
              </w:rPr>
              <w:t>及以上资质。</w:t>
            </w:r>
            <w:bookmarkEnd w:id="7"/>
          </w:p>
          <w:p>
            <w:pPr>
              <w:pStyle w:val="12"/>
              <w:rPr>
                <w:rFonts w:hint="eastAsia" w:ascii="宋体" w:hAnsi="宋体" w:cs="宋体"/>
                <w:color w:val="auto"/>
                <w:szCs w:val="21"/>
                <w:highlight w:val="none"/>
              </w:rPr>
            </w:pPr>
          </w:p>
          <w:p>
            <w:pPr>
              <w:pStyle w:val="12"/>
              <w:rPr>
                <w:rFonts w:hint="eastAsia" w:ascii="宋体" w:hAnsi="宋体" w:cs="宋体"/>
                <w:color w:val="auto"/>
                <w:szCs w:val="21"/>
                <w:highlight w:val="none"/>
              </w:rPr>
            </w:pPr>
          </w:p>
        </w:tc>
      </w:tr>
    </w:tbl>
    <w:p>
      <w:pPr>
        <w:pStyle w:val="12"/>
        <w:rPr>
          <w:rFonts w:hint="eastAsia" w:ascii="宋体" w:hAnsi="宋体" w:cs="宋体"/>
          <w:color w:val="auto"/>
          <w:sz w:val="24"/>
          <w:highlight w:val="none"/>
        </w:rPr>
      </w:pPr>
    </w:p>
    <w:p>
      <w:pPr>
        <w:pStyle w:val="12"/>
        <w:jc w:val="center"/>
        <w:rPr>
          <w:rFonts w:hint="eastAsia" w:ascii="宋体" w:hAnsi="宋体" w:cs="宋体"/>
          <w:color w:val="auto"/>
          <w:sz w:val="30"/>
          <w:szCs w:val="30"/>
          <w:highlight w:val="none"/>
        </w:rPr>
      </w:pPr>
      <w:r>
        <w:rPr>
          <w:rFonts w:hint="eastAsia" w:ascii="宋体" w:hAnsi="宋体" w:cs="宋体"/>
          <w:color w:val="auto"/>
          <w:sz w:val="30"/>
          <w:szCs w:val="30"/>
          <w:highlight w:val="none"/>
        </w:rPr>
        <w:br w:type="page"/>
      </w:r>
    </w:p>
    <w:p>
      <w:pPr>
        <w:pStyle w:val="10"/>
        <w:rPr>
          <w:rFonts w:hint="eastAsia" w:ascii="宋体" w:hAnsi="宋体" w:eastAsia="宋体" w:cs="宋体"/>
          <w:color w:val="auto"/>
          <w:highlight w:val="none"/>
        </w:rPr>
      </w:pPr>
      <w:bookmarkStart w:id="8" w:name="_Toc1696"/>
      <w:bookmarkStart w:id="9" w:name="_Toc11330"/>
      <w:bookmarkStart w:id="10" w:name="_Toc30925"/>
      <w:bookmarkStart w:id="11" w:name="_Toc25105"/>
      <w:bookmarkStart w:id="12" w:name="_Toc3741"/>
      <w:bookmarkStart w:id="13" w:name="_Toc8045"/>
      <w:r>
        <w:rPr>
          <w:rFonts w:hint="eastAsia" w:ascii="宋体" w:hAnsi="宋体" w:eastAsia="宋体" w:cs="宋体"/>
          <w:color w:val="auto"/>
          <w:highlight w:val="none"/>
        </w:rPr>
        <w:t>附录2 资格审查条件（财务最低要求）</w:t>
      </w:r>
      <w:bookmarkEnd w:id="8"/>
      <w:bookmarkEnd w:id="9"/>
      <w:bookmarkEnd w:id="10"/>
      <w:bookmarkEnd w:id="11"/>
      <w:bookmarkEnd w:id="12"/>
      <w:bookmarkEnd w:id="13"/>
    </w:p>
    <w:p>
      <w:pPr>
        <w:pStyle w:val="12"/>
        <w:rPr>
          <w:rFonts w:hint="eastAsia" w:ascii="宋体" w:hAnsi="宋体" w:cs="宋体"/>
          <w:color w:val="auto"/>
          <w:sz w:val="24"/>
          <w:highlight w:val="none"/>
        </w:rPr>
      </w:pPr>
    </w:p>
    <w:tbl>
      <w:tblPr>
        <w:tblStyle w:val="8"/>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80" w:type="dxa"/>
            <w:noWrap w:val="0"/>
            <w:vAlign w:val="center"/>
          </w:tcPr>
          <w:p>
            <w:pPr>
              <w:pStyle w:val="12"/>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财务要求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0" w:hRule="atLeast"/>
        </w:trPr>
        <w:tc>
          <w:tcPr>
            <w:tcW w:w="9180" w:type="dxa"/>
            <w:noWrap w:val="0"/>
            <w:vAlign w:val="center"/>
          </w:tcPr>
          <w:p>
            <w:pPr>
              <w:pStyle w:val="12"/>
              <w:spacing w:line="360" w:lineRule="auto"/>
              <w:rPr>
                <w:rFonts w:hint="eastAsia" w:ascii="宋体" w:hAnsi="宋体" w:cs="宋体"/>
                <w:color w:val="auto"/>
                <w:szCs w:val="21"/>
                <w:highlight w:val="none"/>
              </w:rPr>
            </w:pPr>
          </w:p>
          <w:p>
            <w:pPr>
              <w:pStyle w:val="12"/>
              <w:spacing w:line="360" w:lineRule="auto"/>
              <w:rPr>
                <w:rFonts w:hint="eastAsia" w:ascii="宋体" w:hAnsi="宋体" w:cs="宋体"/>
                <w:color w:val="auto"/>
                <w:szCs w:val="21"/>
                <w:highlight w:val="none"/>
              </w:rPr>
            </w:pPr>
          </w:p>
          <w:p>
            <w:pPr>
              <w:pStyle w:val="12"/>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承诺提供不少于</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2000</w:t>
            </w:r>
            <w:r>
              <w:rPr>
                <w:rFonts w:hint="eastAsia" w:ascii="宋体" w:hAnsi="宋体" w:cs="宋体"/>
                <w:color w:val="auto"/>
                <w:highlight w:val="none"/>
                <w:u w:val="single"/>
              </w:rPr>
              <w:t xml:space="preserve"> </w:t>
            </w:r>
            <w:r>
              <w:rPr>
                <w:rFonts w:hint="eastAsia" w:ascii="宋体" w:hAnsi="宋体" w:cs="宋体"/>
                <w:color w:val="auto"/>
                <w:highlight w:val="none"/>
              </w:rPr>
              <w:t>万元人民币的流动资金（由投标人自行决定采用银行信贷证明或财务能力承诺书）。</w:t>
            </w:r>
          </w:p>
          <w:p>
            <w:pPr>
              <w:pStyle w:val="12"/>
              <w:spacing w:line="360" w:lineRule="auto"/>
              <w:ind w:firstLine="420" w:firstLineChars="200"/>
              <w:rPr>
                <w:rFonts w:hint="eastAsia" w:ascii="宋体" w:hAnsi="宋体" w:cs="宋体"/>
                <w:color w:val="auto"/>
                <w:szCs w:val="21"/>
                <w:highlight w:val="none"/>
              </w:rPr>
            </w:pPr>
            <w:r>
              <w:rPr>
                <w:rFonts w:hint="eastAsia" w:ascii="宋体" w:hAnsi="宋体" w:cs="宋体"/>
                <w:color w:val="auto"/>
                <w:highlight w:val="none"/>
              </w:rPr>
              <w:t>若采用银行信贷证明，开具银行信贷证明的银行级别：国有或股份制商业银行县（区、市）级及以上支行。</w:t>
            </w:r>
          </w:p>
          <w:p>
            <w:pPr>
              <w:pStyle w:val="12"/>
              <w:rPr>
                <w:rFonts w:hint="eastAsia" w:ascii="宋体" w:hAnsi="宋体" w:cs="宋体"/>
                <w:color w:val="auto"/>
                <w:szCs w:val="21"/>
                <w:highlight w:val="none"/>
              </w:rPr>
            </w:pPr>
          </w:p>
          <w:p>
            <w:pPr>
              <w:pStyle w:val="12"/>
              <w:rPr>
                <w:rFonts w:hint="eastAsia" w:ascii="宋体" w:hAnsi="宋体" w:cs="宋体"/>
                <w:color w:val="auto"/>
                <w:szCs w:val="21"/>
                <w:highlight w:val="none"/>
              </w:rPr>
            </w:pPr>
          </w:p>
        </w:tc>
      </w:tr>
    </w:tbl>
    <w:p>
      <w:pPr>
        <w:pStyle w:val="12"/>
        <w:autoSpaceDE w:val="0"/>
        <w:autoSpaceDN w:val="0"/>
        <w:adjustRightInd w:val="0"/>
        <w:jc w:val="left"/>
        <w:rPr>
          <w:rFonts w:hint="eastAsia" w:ascii="宋体" w:hAnsi="宋体" w:cs="宋体"/>
          <w:color w:val="auto"/>
          <w:szCs w:val="21"/>
          <w:highlight w:val="none"/>
        </w:rPr>
      </w:pPr>
    </w:p>
    <w:p>
      <w:pPr>
        <w:pStyle w:val="12"/>
        <w:autoSpaceDE w:val="0"/>
        <w:autoSpaceDN w:val="0"/>
        <w:adjustRightInd w:val="0"/>
        <w:jc w:val="left"/>
        <w:rPr>
          <w:rFonts w:hint="eastAsia" w:ascii="宋体" w:hAnsi="宋体" w:cs="宋体"/>
          <w:color w:val="auto"/>
          <w:szCs w:val="21"/>
          <w:highlight w:val="none"/>
        </w:rPr>
      </w:pPr>
      <w:r>
        <w:rPr>
          <w:rFonts w:hint="eastAsia" w:ascii="宋体" w:hAnsi="宋体" w:cs="宋体"/>
          <w:color w:val="auto"/>
          <w:szCs w:val="21"/>
          <w:highlight w:val="none"/>
        </w:rPr>
        <w:br w:type="page"/>
      </w:r>
    </w:p>
    <w:p>
      <w:pPr>
        <w:pStyle w:val="10"/>
        <w:rPr>
          <w:rFonts w:hint="eastAsia" w:ascii="宋体" w:hAnsi="宋体" w:eastAsia="宋体" w:cs="宋体"/>
          <w:color w:val="auto"/>
          <w:highlight w:val="none"/>
        </w:rPr>
      </w:pPr>
      <w:bookmarkStart w:id="14" w:name="_Toc3927"/>
      <w:bookmarkStart w:id="15" w:name="_Toc9822"/>
      <w:bookmarkStart w:id="16" w:name="_Toc387914220"/>
      <w:bookmarkStart w:id="17" w:name="_Toc26440"/>
      <w:bookmarkStart w:id="18" w:name="_Toc2548"/>
      <w:bookmarkStart w:id="19" w:name="_Toc17182"/>
      <w:bookmarkStart w:id="20" w:name="_Toc573"/>
      <w:r>
        <w:rPr>
          <w:rFonts w:hint="eastAsia" w:ascii="宋体" w:hAnsi="宋体" w:eastAsia="宋体" w:cs="宋体"/>
          <w:color w:val="auto"/>
          <w:highlight w:val="none"/>
        </w:rPr>
        <w:t>附录3 资格审查条件（业绩最低要求）</w:t>
      </w:r>
      <w:bookmarkEnd w:id="14"/>
      <w:bookmarkEnd w:id="15"/>
      <w:bookmarkEnd w:id="16"/>
      <w:bookmarkEnd w:id="17"/>
      <w:bookmarkEnd w:id="18"/>
      <w:bookmarkEnd w:id="19"/>
      <w:bookmarkEnd w:id="20"/>
    </w:p>
    <w:p>
      <w:pPr>
        <w:pStyle w:val="12"/>
        <w:jc w:val="center"/>
        <w:rPr>
          <w:rFonts w:hint="eastAsia" w:ascii="宋体" w:hAnsi="宋体" w:cs="宋体"/>
          <w:color w:val="auto"/>
          <w:szCs w:val="21"/>
          <w:highlight w:val="none"/>
        </w:rPr>
      </w:pPr>
    </w:p>
    <w:tbl>
      <w:tblPr>
        <w:tblStyle w:val="8"/>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9180" w:type="dxa"/>
            <w:noWrap w:val="0"/>
            <w:vAlign w:val="center"/>
          </w:tcPr>
          <w:p>
            <w:pPr>
              <w:pStyle w:val="12"/>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业绩最低要求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7" w:hRule="atLeast"/>
        </w:trPr>
        <w:tc>
          <w:tcPr>
            <w:tcW w:w="9180" w:type="dxa"/>
            <w:shd w:val="clear" w:color="auto" w:fill="FFFFFF"/>
            <w:noWrap w:val="0"/>
            <w:vAlign w:val="center"/>
          </w:tcPr>
          <w:p>
            <w:pPr>
              <w:pStyle w:val="12"/>
              <w:snapToGrid w:val="0"/>
              <w:spacing w:line="360" w:lineRule="auto"/>
              <w:rPr>
                <w:rFonts w:hint="eastAsia" w:ascii="宋体" w:hAnsi="宋体" w:cs="宋体"/>
                <w:color w:val="auto"/>
                <w:szCs w:val="21"/>
                <w:highlight w:val="none"/>
              </w:rPr>
            </w:pPr>
          </w:p>
          <w:p>
            <w:pPr>
              <w:pStyle w:val="12"/>
              <w:snapToGrid w:val="0"/>
              <w:spacing w:line="360" w:lineRule="auto"/>
              <w:ind w:firstLine="422" w:firstLineChars="200"/>
              <w:rPr>
                <w:rFonts w:hint="eastAsia" w:ascii="宋体" w:hAnsi="宋体" w:cs="宋体"/>
                <w:b/>
                <w:color w:val="auto"/>
                <w:szCs w:val="21"/>
                <w:highlight w:val="none"/>
              </w:rPr>
            </w:pPr>
          </w:p>
          <w:p>
            <w:pPr>
              <w:shd w:val="clear" w:color="auto" w:fill="FFFFFF"/>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自2018年1月1日（以实际交工日期为准）以来，独立成功完成过一个水运项目道路堆场工程（道路堆场面积不低于</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8</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万平方米）施工项目</w:t>
            </w:r>
            <w:r>
              <w:rPr>
                <w:rFonts w:hint="eastAsia" w:ascii="宋体" w:hAnsi="宋体"/>
                <w:b/>
                <w:color w:val="auto"/>
                <w:szCs w:val="21"/>
                <w:highlight w:val="none"/>
              </w:rPr>
              <w:t>。</w:t>
            </w:r>
          </w:p>
          <w:p>
            <w:pPr>
              <w:pStyle w:val="12"/>
              <w:spacing w:line="360" w:lineRule="auto"/>
              <w:rPr>
                <w:rFonts w:hint="eastAsia" w:ascii="宋体" w:hAnsi="宋体" w:cs="宋体"/>
                <w:color w:val="auto"/>
                <w:szCs w:val="21"/>
                <w:highlight w:val="none"/>
              </w:rPr>
            </w:pPr>
          </w:p>
        </w:tc>
      </w:tr>
    </w:tbl>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注：1、投标人应根据本表要求，如实填写第八章七资格审查资料（五）自2018年1月1日以来完成的类似项目情况表。</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2018年1月1日以来完成类似项目情况表”后应附：a.中标通知书的复制件；b.合同协议书的复制件；c.质量证明文件（由发包人出具的工程交工验收证书或竣工验收委员会出具的工程竣工验收鉴定书或竣工验收现场核查报告或交通质量监督机构对各参建单位签发的工作综合评价等级证书或交通建设工程交（竣）工质量评定备案管理表）的复制件；d.从“浙江省交通运输厅建设市场诚信信息系统”中截图的含有该系统水印的《主要业绩信息一览表》；四者缺一不可，否则业绩不予认可</w:t>
      </w:r>
      <w:r>
        <w:rPr>
          <w:rFonts w:hint="eastAsia" w:ascii="宋体" w:hAnsi="宋体" w:cs="宋体"/>
          <w:color w:val="auto"/>
          <w:sz w:val="18"/>
          <w:szCs w:val="18"/>
          <w:highlight w:val="none"/>
          <w:lang w:eastAsia="zh-CN"/>
        </w:rPr>
        <w:t>。</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若提供的业绩为联合体业绩，则须提供联合体协议书，且其在该业绩中须独立完成过上述资格要求中施工任务的，否则该业绩不予认可。</w:t>
      </w:r>
    </w:p>
    <w:p>
      <w:pPr>
        <w:pStyle w:val="12"/>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上述资料中的施工单位名称与投标人名称必须一致（施工单位名称发生合法变更的除外，但需提供合法变更的有效文件），否则业绩不予认可。</w:t>
      </w:r>
    </w:p>
    <w:p>
      <w:pPr>
        <w:pStyle w:val="12"/>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工程规模的解释顺序为：质量证明文件、合同协议书、中标通知书，若上述资料中均未体现工程规模、工程内容的，必须附发包人或项目质量监督部门或项目所在地设区市行业主管部门出具的证明材料，否则业绩不予认可。</w:t>
      </w:r>
    </w:p>
    <w:p>
      <w:pPr>
        <w:pStyle w:val="12"/>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未按上述要求提供或者提供的《主要业绩信息一览表》与浙江交通网公开发布的内容不一致但未对资格审查造成实质性影响的，原则上不影响资格评审。投标人提供的任一项类似项目的《主要业绩信息一览表》与投标文件所附的业绩证明材料有实质性不一致的，资格审查将不予通过，并报相应交通运输主管部门按有关规定进行处理。</w:t>
      </w:r>
    </w:p>
    <w:p>
      <w:pPr>
        <w:pStyle w:val="12"/>
        <w:autoSpaceDE w:val="0"/>
        <w:autoSpaceDN w:val="0"/>
        <w:adjustRightInd w:val="0"/>
        <w:jc w:val="left"/>
        <w:rPr>
          <w:rFonts w:hint="eastAsia" w:ascii="宋体" w:hAnsi="宋体" w:cs="宋体"/>
          <w:color w:val="auto"/>
          <w:szCs w:val="21"/>
          <w:highlight w:val="none"/>
        </w:rPr>
      </w:pPr>
      <w:r>
        <w:rPr>
          <w:rFonts w:hint="eastAsia" w:ascii="宋体" w:hAnsi="宋体" w:cs="宋体"/>
          <w:color w:val="auto"/>
          <w:szCs w:val="21"/>
          <w:highlight w:val="none"/>
        </w:rPr>
        <w:br w:type="page"/>
      </w:r>
    </w:p>
    <w:p>
      <w:pPr>
        <w:pStyle w:val="10"/>
        <w:rPr>
          <w:rFonts w:hint="eastAsia" w:ascii="宋体" w:hAnsi="宋体" w:eastAsia="宋体" w:cs="宋体"/>
          <w:color w:val="auto"/>
          <w:highlight w:val="none"/>
        </w:rPr>
      </w:pPr>
      <w:bookmarkStart w:id="21" w:name="_Toc23544"/>
      <w:bookmarkStart w:id="22" w:name="_Toc17840"/>
      <w:bookmarkStart w:id="23" w:name="_Toc30610"/>
      <w:bookmarkStart w:id="24" w:name="_Toc23711"/>
      <w:bookmarkStart w:id="25" w:name="_Toc20907"/>
      <w:bookmarkStart w:id="26" w:name="_Toc24485"/>
      <w:r>
        <w:rPr>
          <w:rFonts w:hint="eastAsia" w:ascii="宋体" w:hAnsi="宋体" w:eastAsia="宋体" w:cs="宋体"/>
          <w:color w:val="auto"/>
          <w:highlight w:val="none"/>
        </w:rPr>
        <w:t>附录4 资格审查条件（信誉最低要求）</w:t>
      </w:r>
      <w:bookmarkEnd w:id="21"/>
      <w:bookmarkEnd w:id="22"/>
      <w:bookmarkEnd w:id="23"/>
      <w:bookmarkEnd w:id="24"/>
      <w:bookmarkEnd w:id="25"/>
      <w:bookmarkEnd w:id="26"/>
    </w:p>
    <w:p>
      <w:pPr>
        <w:pStyle w:val="12"/>
        <w:jc w:val="center"/>
        <w:rPr>
          <w:rFonts w:hint="eastAsia" w:ascii="宋体" w:hAnsi="宋体" w:cs="宋体"/>
          <w:color w:val="auto"/>
          <w:szCs w:val="21"/>
          <w:highlight w:val="none"/>
        </w:rPr>
      </w:pPr>
    </w:p>
    <w:tbl>
      <w:tblPr>
        <w:tblStyle w:val="8"/>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80" w:type="dxa"/>
            <w:noWrap w:val="0"/>
            <w:vAlign w:val="center"/>
          </w:tcPr>
          <w:p>
            <w:pPr>
              <w:pStyle w:val="12"/>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信誉最低要求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0" w:hRule="atLeast"/>
        </w:trPr>
        <w:tc>
          <w:tcPr>
            <w:tcW w:w="9180" w:type="dxa"/>
            <w:noWrap w:val="0"/>
            <w:vAlign w:val="center"/>
          </w:tcPr>
          <w:p>
            <w:pPr>
              <w:pStyle w:val="12"/>
              <w:spacing w:line="360" w:lineRule="auto"/>
              <w:rPr>
                <w:rFonts w:hint="eastAsia" w:ascii="宋体" w:hAnsi="宋体" w:cs="宋体"/>
                <w:color w:val="auto"/>
                <w:szCs w:val="21"/>
                <w:highlight w:val="none"/>
              </w:rPr>
            </w:pPr>
          </w:p>
          <w:p>
            <w:pPr>
              <w:pStyle w:val="12"/>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1、不存在投标人须知第1.4.3项的情形；</w:t>
            </w:r>
          </w:p>
          <w:p>
            <w:pPr>
              <w:pStyle w:val="12"/>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2、自2020年1月1日以来，投标人无行贿犯罪行为；</w:t>
            </w:r>
          </w:p>
          <w:p>
            <w:pPr>
              <w:pStyle w:val="12"/>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w:t>
            </w:r>
            <w:r>
              <w:rPr>
                <w:rFonts w:hint="eastAsia" w:ascii="宋体" w:hAnsi="宋体" w:cs="宋体"/>
                <w:bCs/>
                <w:color w:val="auto"/>
                <w:szCs w:val="21"/>
                <w:highlight w:val="none"/>
              </w:rPr>
              <w:t>在投标截止时间前，投标人未被“信用中国”网站（http://www.creditchina.gov.cn）列入失信惩戒对象；在投标截止时间前，未被“信用中国（浙江）”网站（http://credit.zj.gov.cn）列入黑名单。</w:t>
            </w:r>
          </w:p>
          <w:p>
            <w:pPr>
              <w:pStyle w:val="12"/>
              <w:spacing w:line="360" w:lineRule="auto"/>
              <w:ind w:firstLine="420" w:firstLineChars="200"/>
              <w:rPr>
                <w:rFonts w:hint="eastAsia" w:ascii="宋体" w:hAnsi="宋体" w:cs="宋体"/>
                <w:color w:val="auto"/>
                <w:szCs w:val="21"/>
                <w:highlight w:val="none"/>
              </w:rPr>
            </w:pPr>
          </w:p>
        </w:tc>
      </w:tr>
    </w:tbl>
    <w:p>
      <w:pPr>
        <w:spacing w:line="360" w:lineRule="auto"/>
        <w:jc w:val="left"/>
        <w:rPr>
          <w:rFonts w:hint="eastAsia" w:ascii="宋体" w:hAnsi="宋体" w:cs="宋体"/>
          <w:color w:val="auto"/>
          <w:szCs w:val="21"/>
          <w:highlight w:val="none"/>
        </w:rPr>
      </w:pPr>
      <w:bookmarkStart w:id="27" w:name="_Toc13751"/>
      <w:bookmarkStart w:id="28" w:name="_Toc24939"/>
      <w:bookmarkStart w:id="29" w:name="_Toc13262"/>
      <w:bookmarkStart w:id="30" w:name="_Toc16401"/>
      <w:bookmarkStart w:id="31" w:name="_Toc13054"/>
      <w:r>
        <w:rPr>
          <w:rFonts w:hint="eastAsia" w:ascii="宋体" w:hAnsi="宋体" w:cs="宋体"/>
          <w:color w:val="auto"/>
          <w:szCs w:val="21"/>
          <w:highlight w:val="none"/>
        </w:rPr>
        <w:t>备注：1、对公示的推荐中标候选人及拟委任的项目经理，招标人以</w:t>
      </w:r>
      <w:r>
        <w:rPr>
          <w:rFonts w:hint="eastAsia" w:ascii="宋体" w:hAnsi="宋体"/>
          <w:color w:val="auto"/>
          <w:highlight w:val="none"/>
        </w:rPr>
        <w:t>中国裁判文书网（</w:t>
      </w:r>
      <w:r>
        <w:rPr>
          <w:rFonts w:ascii="宋体" w:hAnsi="宋体"/>
          <w:color w:val="auto"/>
          <w:highlight w:val="none"/>
        </w:rPr>
        <w:fldChar w:fldCharType="begin"/>
      </w:r>
      <w:r>
        <w:rPr>
          <w:rFonts w:ascii="宋体" w:hAnsi="宋体"/>
          <w:color w:val="auto"/>
          <w:highlight w:val="none"/>
        </w:rPr>
        <w:instrText xml:space="preserve"> HYPERLINK "</w:instrText>
      </w:r>
      <w:r>
        <w:rPr>
          <w:rFonts w:hint="eastAsia" w:ascii="宋体" w:hAnsi="宋体"/>
          <w:color w:val="auto"/>
          <w:highlight w:val="none"/>
        </w:rPr>
        <w:instrText xml:space="preserve">http://wenshu.court.gov.cn</w:instrText>
      </w:r>
      <w:r>
        <w:rPr>
          <w:rFonts w:ascii="宋体" w:hAnsi="宋体"/>
          <w:color w:val="auto"/>
          <w:highlight w:val="none"/>
        </w:rPr>
        <w:instrText xml:space="preserve">" </w:instrText>
      </w:r>
      <w:r>
        <w:rPr>
          <w:rFonts w:ascii="宋体" w:hAnsi="宋体"/>
          <w:color w:val="auto"/>
          <w:highlight w:val="none"/>
        </w:rPr>
        <w:fldChar w:fldCharType="separate"/>
      </w:r>
      <w:r>
        <w:rPr>
          <w:rFonts w:hint="eastAsia" w:ascii="宋体" w:hAnsi="宋体"/>
          <w:color w:val="auto"/>
          <w:highlight w:val="none"/>
        </w:rPr>
        <w:t>http://wenshu.court.gov.cn</w:t>
      </w:r>
      <w:r>
        <w:rPr>
          <w:rFonts w:ascii="宋体" w:hAnsi="宋体"/>
          <w:color w:val="auto"/>
          <w:highlight w:val="none"/>
        </w:rPr>
        <w:fldChar w:fldCharType="end"/>
      </w:r>
      <w:r>
        <w:rPr>
          <w:rFonts w:hint="eastAsia" w:ascii="宋体" w:hAnsi="宋体"/>
          <w:color w:val="auto"/>
          <w:highlight w:val="none"/>
        </w:rPr>
        <w:t>）查询记录为准</w:t>
      </w:r>
      <w:r>
        <w:rPr>
          <w:rFonts w:hint="eastAsia" w:ascii="宋体" w:hAnsi="宋体" w:cs="宋体"/>
          <w:color w:val="auto"/>
          <w:szCs w:val="21"/>
          <w:highlight w:val="none"/>
        </w:rPr>
        <w:t>，查实推荐中标候选人或拟委任的项目经理自2020年1月1日以来有行贿受贿犯罪行为的（以法院生效判决书认定的行为和出具的时间为准），则取消该中标候选人的中标资格。</w:t>
      </w:r>
      <w:bookmarkEnd w:id="27"/>
    </w:p>
    <w:p>
      <w:pPr>
        <w:pStyle w:val="10"/>
        <w:numPr>
          <w:ilvl w:val="0"/>
          <w:numId w:val="1"/>
        </w:numPr>
        <w:spacing w:line="240" w:lineRule="auto"/>
        <w:ind w:left="0" w:leftChars="0" w:firstLine="0" w:firstLineChars="0"/>
        <w:jc w:val="left"/>
        <w:rPr>
          <w:rFonts w:hint="eastAsia" w:ascii="宋体" w:hAnsi="宋体" w:eastAsia="宋体" w:cs="宋体"/>
          <w:color w:val="auto"/>
          <w:highlight w:val="none"/>
        </w:rPr>
      </w:pPr>
      <w:bookmarkStart w:id="32" w:name="_Toc13191"/>
      <w:bookmarkStart w:id="33" w:name="_Toc3039"/>
      <w:r>
        <w:rPr>
          <w:rFonts w:hint="eastAsia" w:ascii="宋体" w:hAnsi="宋体" w:eastAsia="宋体" w:cs="宋体"/>
          <w:b/>
          <w:bCs w:val="0"/>
          <w:color w:val="auto"/>
          <w:sz w:val="21"/>
          <w:szCs w:val="21"/>
          <w:highlight w:val="none"/>
        </w:rPr>
        <w:t>在投标截止时间前，投标人未被“信用中国”网站（http://www.creditchina.gov.cn）列入失信惩戒对象；在投标截止时间前，未被“信用中国（浙江）”网站（http://credit.zj.gov.cn）列入黑名单。须提供无限制投标情形承诺书或提供网页截图。</w:t>
      </w:r>
      <w:r>
        <w:rPr>
          <w:rFonts w:hint="eastAsia" w:ascii="宋体" w:hAnsi="宋体" w:eastAsia="宋体" w:cs="宋体"/>
          <w:color w:val="auto"/>
          <w:highlight w:val="none"/>
        </w:rPr>
        <w:br w:type="page"/>
      </w:r>
      <w:bookmarkStart w:id="34" w:name="_Toc20465"/>
      <w:bookmarkStart w:id="35" w:name="_Toc8376"/>
      <w:r>
        <w:rPr>
          <w:rFonts w:hint="eastAsia" w:ascii="宋体" w:hAnsi="宋体" w:eastAsia="宋体" w:cs="宋体"/>
          <w:color w:val="auto"/>
          <w:highlight w:val="none"/>
        </w:rPr>
        <w:t>附录5 资格审查条件（项目经理和项目技术负责人最低要求）</w:t>
      </w:r>
      <w:bookmarkEnd w:id="28"/>
      <w:bookmarkEnd w:id="29"/>
      <w:bookmarkEnd w:id="30"/>
      <w:bookmarkEnd w:id="31"/>
      <w:bookmarkEnd w:id="32"/>
      <w:bookmarkEnd w:id="33"/>
      <w:bookmarkEnd w:id="34"/>
      <w:bookmarkEnd w:id="35"/>
    </w:p>
    <w:p>
      <w:pPr>
        <w:pStyle w:val="10"/>
        <w:numPr>
          <w:numId w:val="0"/>
        </w:numPr>
        <w:spacing w:line="240" w:lineRule="auto"/>
        <w:ind w:leftChars="0"/>
        <w:jc w:val="left"/>
        <w:rPr>
          <w:rFonts w:hint="eastAsia" w:ascii="宋体" w:hAnsi="宋体" w:eastAsia="宋体" w:cs="宋体"/>
          <w:color w:val="auto"/>
          <w:highlight w:val="none"/>
        </w:rPr>
      </w:pPr>
      <w:bookmarkStart w:id="43" w:name="_GoBack"/>
      <w:bookmarkEnd w:id="43"/>
    </w:p>
    <w:tbl>
      <w:tblPr>
        <w:tblStyle w:val="8"/>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0"/>
        <w:gridCol w:w="1171"/>
        <w:gridCol w:w="56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1980" w:type="dxa"/>
            <w:noWrap w:val="0"/>
            <w:vAlign w:val="center"/>
          </w:tcPr>
          <w:p>
            <w:pPr>
              <w:pStyle w:val="12"/>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人员</w:t>
            </w:r>
          </w:p>
        </w:tc>
        <w:tc>
          <w:tcPr>
            <w:tcW w:w="1171" w:type="dxa"/>
            <w:noWrap w:val="0"/>
            <w:vAlign w:val="center"/>
          </w:tcPr>
          <w:p>
            <w:pPr>
              <w:pStyle w:val="12"/>
              <w:jc w:val="center"/>
              <w:rPr>
                <w:rFonts w:hint="eastAsia" w:ascii="宋体" w:hAnsi="宋体" w:cs="宋体"/>
                <w:color w:val="auto"/>
                <w:sz w:val="28"/>
                <w:szCs w:val="28"/>
                <w:highlight w:val="none"/>
              </w:rPr>
            </w:pPr>
            <w:bookmarkStart w:id="36" w:name="_Toc267559620"/>
            <w:r>
              <w:rPr>
                <w:rFonts w:hint="eastAsia" w:ascii="宋体" w:hAnsi="宋体" w:cs="宋体"/>
                <w:color w:val="auto"/>
                <w:sz w:val="28"/>
                <w:szCs w:val="28"/>
                <w:highlight w:val="none"/>
              </w:rPr>
              <w:t>数量</w:t>
            </w:r>
            <w:bookmarkEnd w:id="36"/>
          </w:p>
        </w:tc>
        <w:tc>
          <w:tcPr>
            <w:tcW w:w="5676" w:type="dxa"/>
            <w:noWrap w:val="0"/>
            <w:vAlign w:val="center"/>
          </w:tcPr>
          <w:p>
            <w:pPr>
              <w:pStyle w:val="12"/>
              <w:jc w:val="center"/>
              <w:rPr>
                <w:rFonts w:hint="eastAsia" w:ascii="宋体" w:hAnsi="宋体" w:cs="宋体"/>
                <w:color w:val="auto"/>
                <w:sz w:val="28"/>
                <w:szCs w:val="28"/>
                <w:highlight w:val="none"/>
              </w:rPr>
            </w:pPr>
            <w:bookmarkStart w:id="37" w:name="_Toc267559621"/>
            <w:r>
              <w:rPr>
                <w:rFonts w:hint="eastAsia" w:ascii="宋体" w:hAnsi="宋体" w:cs="宋体"/>
                <w:color w:val="auto"/>
                <w:sz w:val="28"/>
                <w:szCs w:val="28"/>
                <w:highlight w:val="none"/>
              </w:rPr>
              <w:t>资格要求</w:t>
            </w:r>
            <w:bookmarkEnd w:id="3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3" w:hRule="atLeast"/>
        </w:trPr>
        <w:tc>
          <w:tcPr>
            <w:tcW w:w="1980" w:type="dxa"/>
            <w:noWrap w:val="0"/>
            <w:vAlign w:val="center"/>
          </w:tcPr>
          <w:p>
            <w:pPr>
              <w:pStyle w:val="12"/>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1171" w:type="dxa"/>
            <w:noWrap w:val="0"/>
            <w:vAlign w:val="center"/>
          </w:tcPr>
          <w:p>
            <w:pPr>
              <w:pStyle w:val="12"/>
              <w:spacing w:line="320" w:lineRule="exact"/>
              <w:jc w:val="center"/>
              <w:rPr>
                <w:rFonts w:hint="eastAsia" w:ascii="宋体" w:hAnsi="宋体" w:cs="宋体"/>
                <w:color w:val="auto"/>
                <w:szCs w:val="21"/>
                <w:highlight w:val="none"/>
              </w:rPr>
            </w:pPr>
            <w:bookmarkStart w:id="38" w:name="_Toc267559623"/>
            <w:r>
              <w:rPr>
                <w:rFonts w:hint="eastAsia" w:ascii="宋体" w:hAnsi="宋体" w:cs="宋体"/>
                <w:color w:val="auto"/>
                <w:szCs w:val="21"/>
                <w:highlight w:val="none"/>
              </w:rPr>
              <w:t>1</w:t>
            </w:r>
            <w:bookmarkEnd w:id="38"/>
          </w:p>
        </w:tc>
        <w:tc>
          <w:tcPr>
            <w:tcW w:w="5676" w:type="dxa"/>
            <w:noWrap w:val="0"/>
            <w:vAlign w:val="center"/>
          </w:tcPr>
          <w:p>
            <w:pPr>
              <w:pStyle w:val="12"/>
              <w:numPr>
                <w:ilvl w:val="0"/>
                <w:numId w:val="2"/>
              </w:numPr>
              <w:spacing w:line="440" w:lineRule="exact"/>
              <w:ind w:firstLine="420" w:firstLineChars="200"/>
              <w:rPr>
                <w:rFonts w:hint="eastAsia"/>
                <w:color w:val="auto"/>
                <w:highlight w:val="none"/>
              </w:rPr>
            </w:pPr>
            <w:bookmarkStart w:id="39" w:name="_Toc267559624"/>
            <w:r>
              <w:rPr>
                <w:rFonts w:hint="eastAsia" w:ascii="宋体" w:hAnsi="宋体" w:cs="宋体"/>
                <w:color w:val="auto"/>
                <w:szCs w:val="21"/>
                <w:highlight w:val="none"/>
              </w:rPr>
              <w:t>担任过</w:t>
            </w:r>
            <w:r>
              <w:rPr>
                <w:rFonts w:hint="eastAsia" w:ascii="宋体" w:hAnsi="宋体" w:cs="宋体"/>
                <w:b/>
                <w:color w:val="auto"/>
                <w:szCs w:val="21"/>
                <w:highlight w:val="none"/>
                <w:u w:val="single"/>
              </w:rPr>
              <w:t>一个水运项目道路堆场工程（道路堆场面积不低于</w:t>
            </w:r>
            <w:r>
              <w:rPr>
                <w:rFonts w:hint="eastAsia" w:ascii="宋体" w:hAnsi="宋体" w:cs="宋体"/>
                <w:b/>
                <w:color w:val="auto"/>
                <w:szCs w:val="21"/>
                <w:highlight w:val="none"/>
                <w:u w:val="single"/>
                <w:lang w:val="en-US" w:eastAsia="zh-CN"/>
              </w:rPr>
              <w:t>5</w:t>
            </w:r>
            <w:r>
              <w:rPr>
                <w:rFonts w:hint="eastAsia" w:ascii="宋体" w:hAnsi="宋体" w:cs="宋体"/>
                <w:b/>
                <w:color w:val="auto"/>
                <w:szCs w:val="21"/>
                <w:highlight w:val="none"/>
                <w:u w:val="single"/>
              </w:rPr>
              <w:t>万平方米）施工项目</w:t>
            </w:r>
            <w:r>
              <w:rPr>
                <w:rFonts w:hint="eastAsia" w:ascii="宋体" w:hAnsi="宋体" w:cs="宋体"/>
                <w:color w:val="auto"/>
                <w:szCs w:val="21"/>
                <w:highlight w:val="none"/>
              </w:rPr>
              <w:t>的项目经理（或项目副经理、项目技术负责人），具有</w:t>
            </w:r>
            <w:r>
              <w:rPr>
                <w:rFonts w:hint="eastAsia" w:ascii="宋体" w:hAnsi="宋体" w:cs="宋体"/>
                <w:color w:val="auto"/>
                <w:szCs w:val="21"/>
                <w:highlight w:val="none"/>
                <w:u w:val="single"/>
              </w:rPr>
              <w:t>港口与航道专业一级</w:t>
            </w:r>
            <w:r>
              <w:rPr>
                <w:rFonts w:hint="eastAsia" w:ascii="宋体" w:hAnsi="宋体" w:cs="宋体"/>
                <w:color w:val="auto"/>
                <w:szCs w:val="21"/>
                <w:highlight w:val="none"/>
              </w:rPr>
              <w:t>建造师注册证书</w:t>
            </w:r>
            <w:r>
              <w:rPr>
                <w:rFonts w:hint="eastAsia" w:ascii="宋体" w:hAnsi="宋体"/>
                <w:bCs/>
                <w:color w:val="auto"/>
                <w:szCs w:val="21"/>
                <w:highlight w:val="none"/>
              </w:rPr>
              <w:t>（含</w:t>
            </w:r>
            <w:r>
              <w:rPr>
                <w:rFonts w:hint="eastAsia" w:ascii="宋体" w:hAnsi="宋体"/>
                <w:color w:val="auto"/>
                <w:szCs w:val="21"/>
                <w:highlight w:val="none"/>
              </w:rPr>
              <w:t>省级及以上相关建设行政主管部门建造师初始注册人员名单公告）</w:t>
            </w:r>
            <w:r>
              <w:rPr>
                <w:rFonts w:hint="eastAsia" w:ascii="宋体" w:hAnsi="宋体" w:cs="宋体"/>
                <w:color w:val="auto"/>
                <w:szCs w:val="21"/>
                <w:highlight w:val="none"/>
              </w:rPr>
              <w:t>，</w:t>
            </w:r>
            <w:r>
              <w:rPr>
                <w:rFonts w:hint="eastAsia"/>
                <w:color w:val="auto"/>
                <w:szCs w:val="21"/>
                <w:highlight w:val="none"/>
              </w:rPr>
              <w:t>具有</w:t>
            </w:r>
            <w:r>
              <w:rPr>
                <w:rFonts w:hint="eastAsia"/>
                <w:color w:val="auto"/>
                <w:szCs w:val="21"/>
                <w:highlight w:val="none"/>
                <w:u w:val="single"/>
              </w:rPr>
              <w:t>高级工程师及以上</w:t>
            </w:r>
            <w:r>
              <w:rPr>
                <w:rFonts w:hint="eastAsia" w:ascii="宋体" w:hAnsi="宋体" w:cs="宋体"/>
                <w:color w:val="auto"/>
                <w:szCs w:val="21"/>
                <w:highlight w:val="none"/>
              </w:rPr>
              <w:t>技术职称，</w:t>
            </w:r>
            <w:bookmarkEnd w:id="39"/>
            <w:r>
              <w:rPr>
                <w:rFonts w:hint="eastAsia" w:ascii="宋体" w:hAnsi="宋体" w:cs="宋体"/>
                <w:color w:val="auto"/>
                <w:szCs w:val="21"/>
                <w:highlight w:val="none"/>
              </w:rPr>
              <w:t>并有有效期内的建筑施工企业项目负责人安全生产考核合格证书（B类）或公路水运工程施工企业主要负责人和安全生产管理人员安全生产考核合格证书（B类）</w:t>
            </w:r>
            <w:r>
              <w:rPr>
                <w:rFonts w:hint="eastAsia" w:ascii="宋体" w:hAnsi="宋体" w:cs="宋体"/>
                <w:color w:val="auto"/>
                <w:szCs w:val="21"/>
                <w:highlight w:val="none"/>
                <w:lang w:eastAsia="zh-CN"/>
              </w:rPr>
              <w:t>，</w:t>
            </w:r>
            <w:r>
              <w:rPr>
                <w:rFonts w:hint="eastAsia" w:ascii="宋体" w:hAnsi="宋体" w:cs="宋体"/>
                <w:b/>
                <w:bCs/>
                <w:color w:val="auto"/>
                <w:szCs w:val="21"/>
                <w:highlight w:val="none"/>
                <w:lang w:eastAsia="zh-CN"/>
              </w:rPr>
              <w:t>年龄</w:t>
            </w:r>
            <w:r>
              <w:rPr>
                <w:rFonts w:hint="eastAsia" w:ascii="宋体" w:hAnsi="宋体" w:cs="宋体"/>
                <w:b/>
                <w:bCs/>
                <w:color w:val="auto"/>
                <w:szCs w:val="21"/>
                <w:highlight w:val="none"/>
                <w:u w:val="single"/>
                <w:lang w:eastAsia="zh-CN"/>
              </w:rPr>
              <w:t xml:space="preserve"> 5</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lang w:eastAsia="zh-CN"/>
              </w:rPr>
              <w:t xml:space="preserve"> </w:t>
            </w:r>
            <w:r>
              <w:rPr>
                <w:rFonts w:hint="eastAsia" w:ascii="宋体" w:hAnsi="宋体" w:cs="宋体"/>
                <w:b/>
                <w:bCs/>
                <w:color w:val="auto"/>
                <w:szCs w:val="21"/>
                <w:highlight w:val="none"/>
                <w:lang w:eastAsia="zh-CN"/>
              </w:rPr>
              <w:t>周岁以下</w:t>
            </w:r>
            <w:r>
              <w:rPr>
                <w:rFonts w:hint="eastAsia" w:ascii="宋体" w:hAnsi="宋体" w:cs="宋体"/>
                <w:color w:val="auto"/>
                <w:szCs w:val="21"/>
                <w:highlight w:val="none"/>
              </w:rPr>
              <w:t>。</w:t>
            </w:r>
          </w:p>
          <w:p>
            <w:pPr>
              <w:pStyle w:val="12"/>
              <w:spacing w:line="440" w:lineRule="exact"/>
              <w:ind w:firstLine="420" w:firstLineChars="200"/>
              <w:rPr>
                <w:rFonts w:hint="eastAsia" w:ascii="宋体" w:hAnsi="宋体" w:cs="宋体"/>
                <w:color w:val="auto"/>
                <w:szCs w:val="21"/>
                <w:highlight w:val="none"/>
              </w:rPr>
            </w:pPr>
            <w:bookmarkStart w:id="40" w:name="_Toc267559625"/>
            <w:r>
              <w:rPr>
                <w:rFonts w:hint="eastAsia" w:ascii="宋体" w:hAnsi="宋体" w:cs="宋体"/>
                <w:color w:val="auto"/>
                <w:szCs w:val="21"/>
                <w:highlight w:val="none"/>
              </w:rPr>
              <w:t>2、</w:t>
            </w:r>
            <w:r>
              <w:rPr>
                <w:rFonts w:hint="eastAsia" w:ascii="宋体" w:hAnsi="宋体" w:cs="宋体"/>
                <w:color w:val="auto"/>
                <w:highlight w:val="none"/>
              </w:rPr>
              <w:t>拟委任的项目经理未在其他在建合同工程中任项目经理。</w:t>
            </w:r>
            <w:bookmarkEnd w:id="40"/>
          </w:p>
          <w:p>
            <w:pPr>
              <w:pStyle w:val="12"/>
              <w:spacing w:line="440" w:lineRule="exact"/>
              <w:ind w:firstLine="420" w:firstLineChars="200"/>
              <w:rPr>
                <w:rFonts w:hint="eastAsia" w:ascii="宋体" w:hAnsi="宋体" w:cs="宋体"/>
                <w:color w:val="auto"/>
                <w:szCs w:val="21"/>
                <w:highlight w:val="none"/>
              </w:rPr>
            </w:pPr>
            <w:bookmarkStart w:id="41" w:name="_Toc267559626"/>
            <w:r>
              <w:rPr>
                <w:rFonts w:hint="eastAsia" w:ascii="宋体" w:hAnsi="宋体" w:cs="宋体"/>
                <w:color w:val="auto"/>
                <w:szCs w:val="21"/>
                <w:highlight w:val="none"/>
              </w:rPr>
              <w:t>3、</w:t>
            </w:r>
            <w:r>
              <w:rPr>
                <w:rFonts w:hint="eastAsia" w:ascii="宋体" w:hAnsi="宋体" w:cs="宋体"/>
                <w:color w:val="auto"/>
                <w:highlight w:val="none"/>
              </w:rPr>
              <w:t>自2020年1月1日以来，拟委任项目经理无行贿犯罪行为。</w:t>
            </w:r>
            <w:bookmarkEnd w:id="4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7" w:hRule="atLeast"/>
        </w:trPr>
        <w:tc>
          <w:tcPr>
            <w:tcW w:w="1980" w:type="dxa"/>
            <w:noWrap w:val="0"/>
            <w:vAlign w:val="center"/>
          </w:tcPr>
          <w:p>
            <w:pPr>
              <w:pStyle w:val="12"/>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项目技术负责人</w:t>
            </w:r>
          </w:p>
        </w:tc>
        <w:tc>
          <w:tcPr>
            <w:tcW w:w="1171" w:type="dxa"/>
            <w:noWrap w:val="0"/>
            <w:vAlign w:val="center"/>
          </w:tcPr>
          <w:p>
            <w:pPr>
              <w:pStyle w:val="12"/>
              <w:spacing w:line="320" w:lineRule="exact"/>
              <w:jc w:val="center"/>
              <w:rPr>
                <w:rFonts w:hint="eastAsia" w:ascii="宋体" w:hAnsi="宋体" w:cs="宋体"/>
                <w:color w:val="auto"/>
                <w:szCs w:val="21"/>
                <w:highlight w:val="none"/>
              </w:rPr>
            </w:pPr>
            <w:bookmarkStart w:id="42" w:name="_Toc267559630"/>
            <w:r>
              <w:rPr>
                <w:rFonts w:hint="eastAsia" w:ascii="宋体" w:hAnsi="宋体" w:cs="宋体"/>
                <w:color w:val="auto"/>
                <w:szCs w:val="21"/>
                <w:highlight w:val="none"/>
              </w:rPr>
              <w:t>1</w:t>
            </w:r>
            <w:bookmarkEnd w:id="42"/>
          </w:p>
        </w:tc>
        <w:tc>
          <w:tcPr>
            <w:tcW w:w="5676" w:type="dxa"/>
            <w:noWrap w:val="0"/>
            <w:vAlign w:val="center"/>
          </w:tcPr>
          <w:p>
            <w:pPr>
              <w:pStyle w:val="12"/>
              <w:spacing w:line="360" w:lineRule="auto"/>
              <w:ind w:firstLine="420" w:firstLineChars="200"/>
              <w:rPr>
                <w:rFonts w:hint="eastAsia" w:ascii="宋体" w:hAnsi="宋体" w:cs="宋体"/>
                <w:color w:val="auto"/>
                <w:szCs w:val="21"/>
                <w:highlight w:val="none"/>
              </w:rPr>
            </w:pPr>
            <w:r>
              <w:rPr>
                <w:rFonts w:hint="eastAsia" w:ascii="宋体" w:hAnsi="宋体"/>
                <w:color w:val="auto"/>
                <w:highlight w:val="none"/>
              </w:rPr>
              <w:t>担任过</w:t>
            </w:r>
            <w:r>
              <w:rPr>
                <w:rFonts w:hint="eastAsia" w:ascii="宋体" w:hAnsi="宋体"/>
                <w:color w:val="auto"/>
                <w:highlight w:val="none"/>
                <w:u w:val="single"/>
              </w:rPr>
              <w:t xml:space="preserve"> </w:t>
            </w:r>
            <w:r>
              <w:rPr>
                <w:rFonts w:hint="eastAsia" w:ascii="宋体" w:hAnsi="宋体" w:cs="宋体"/>
                <w:b/>
                <w:color w:val="auto"/>
                <w:szCs w:val="21"/>
                <w:highlight w:val="none"/>
                <w:u w:val="single"/>
              </w:rPr>
              <w:t>一个</w:t>
            </w:r>
            <w:r>
              <w:rPr>
                <w:rFonts w:hint="eastAsia" w:ascii="宋体" w:hAnsi="宋体" w:cs="宋体"/>
                <w:b/>
                <w:color w:val="auto"/>
                <w:szCs w:val="21"/>
                <w:highlight w:val="none"/>
                <w:u w:val="single"/>
                <w:lang w:val="en-US" w:eastAsia="zh-CN"/>
              </w:rPr>
              <w:t>水运项目道路</w:t>
            </w:r>
            <w:r>
              <w:rPr>
                <w:rFonts w:hint="eastAsia" w:ascii="宋体" w:hAnsi="宋体" w:cs="宋体"/>
                <w:b/>
                <w:color w:val="auto"/>
                <w:szCs w:val="21"/>
                <w:highlight w:val="none"/>
                <w:u w:val="single"/>
              </w:rPr>
              <w:t>堆场工程施工项目</w:t>
            </w:r>
            <w:r>
              <w:rPr>
                <w:rFonts w:hint="eastAsia" w:ascii="宋体" w:hAnsi="宋体"/>
                <w:color w:val="auto"/>
                <w:highlight w:val="none"/>
                <w:u w:val="single"/>
              </w:rPr>
              <w:t xml:space="preserve"> </w:t>
            </w:r>
            <w:r>
              <w:rPr>
                <w:rFonts w:hint="eastAsia" w:ascii="宋体" w:hAnsi="宋体"/>
                <w:color w:val="auto"/>
                <w:highlight w:val="none"/>
              </w:rPr>
              <w:t>的项目技术负责人（或项目经理、项目副经理）</w:t>
            </w:r>
            <w:r>
              <w:rPr>
                <w:rFonts w:hint="eastAsia" w:ascii="宋体" w:hAnsi="宋体"/>
                <w:color w:val="auto"/>
                <w:highlight w:val="none"/>
                <w:lang w:eastAsia="zh-CN"/>
              </w:rPr>
              <w:t>，</w:t>
            </w:r>
            <w:r>
              <w:rPr>
                <w:rFonts w:hint="eastAsia" w:ascii="宋体" w:hAnsi="宋体"/>
                <w:color w:val="auto"/>
                <w:highlight w:val="none"/>
              </w:rPr>
              <w:t>具</w:t>
            </w:r>
            <w:r>
              <w:rPr>
                <w:rFonts w:hint="eastAsia" w:ascii="宋体" w:hAnsi="宋体"/>
                <w:color w:val="auto"/>
                <w:spacing w:val="-4"/>
                <w:highlight w:val="none"/>
              </w:rPr>
              <w:t>有</w:t>
            </w:r>
            <w:r>
              <w:rPr>
                <w:rFonts w:hint="eastAsia"/>
                <w:color w:val="auto"/>
                <w:szCs w:val="21"/>
                <w:highlight w:val="none"/>
                <w:u w:val="single"/>
              </w:rPr>
              <w:t>高级工程师及以上</w:t>
            </w:r>
            <w:r>
              <w:rPr>
                <w:rFonts w:hint="eastAsia" w:ascii="宋体" w:hAnsi="宋体"/>
                <w:color w:val="auto"/>
                <w:highlight w:val="none"/>
              </w:rPr>
              <w:t>技术职称，并有有</w:t>
            </w:r>
            <w:r>
              <w:rPr>
                <w:rFonts w:ascii="宋体" w:hAnsi="宋体"/>
                <w:color w:val="auto"/>
                <w:highlight w:val="none"/>
              </w:rPr>
              <w:t>效期内的</w:t>
            </w:r>
            <w:r>
              <w:rPr>
                <w:rFonts w:hint="eastAsia" w:ascii="宋体" w:hAnsi="宋体"/>
                <w:color w:val="auto"/>
                <w:highlight w:val="none"/>
              </w:rPr>
              <w:t>建筑施工企业项目负责人安全生产考核合格证书（B类）或公路水运工程施工企业主要负责人和安全生产管理人员安全生产考核合格证书（B类）</w:t>
            </w:r>
            <w:r>
              <w:rPr>
                <w:rFonts w:hint="eastAsia"/>
                <w:color w:val="auto"/>
                <w:szCs w:val="21"/>
                <w:highlight w:val="none"/>
              </w:rPr>
              <w:t>。</w:t>
            </w:r>
          </w:p>
        </w:tc>
      </w:tr>
    </w:tbl>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1、拟委任的项目经理有行贿犯罪行为认定：对公示的推荐中标候选人和拟委任的项目经理，招标人在定标前可通过中国裁判文书网（http://wenshu.court.gov.cn/）按照招标文件约定对推荐中标候选人和拟委任的项目经理的行贿犯罪记录进行查询，查询结果以网站页面显示内容为准。投标人无须提供查询件。</w:t>
      </w:r>
    </w:p>
    <w:p>
      <w:pPr>
        <w:pStyle w:val="12"/>
        <w:spacing w:line="40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2、拟委任项目经理</w:t>
      </w:r>
      <w:r>
        <w:rPr>
          <w:rFonts w:hint="eastAsia" w:ascii="宋体" w:hAnsi="宋体" w:cs="宋体"/>
          <w:b/>
          <w:bCs/>
          <w:color w:val="auto"/>
          <w:szCs w:val="21"/>
          <w:highlight w:val="none"/>
          <w:lang w:val="en-US" w:eastAsia="zh-CN"/>
        </w:rPr>
        <w:t>和技术负责人</w:t>
      </w:r>
      <w:r>
        <w:rPr>
          <w:rFonts w:hint="eastAsia" w:ascii="宋体" w:hAnsi="宋体" w:cs="宋体"/>
          <w:b/>
          <w:bCs/>
          <w:color w:val="auto"/>
          <w:szCs w:val="21"/>
          <w:highlight w:val="none"/>
        </w:rPr>
        <w:t>还应提供其满足资格审查条件的相关业绩证明材料：中标通知书或合同协议书或质量证明文件（由发包人出具的工程交工验收证书或竣工验收委员会出具的工程竣工验收鉴定书或竣工验收现场核查报告或交通质量监督机构对各参建单位签发的工作综合评价等级证书或交通建设工程交（竣）工质量评定备案管理表）的复制件，如若上述资料中未体现人员姓名、任职及业绩规模的，则还须提供发包人或质量监督部门或项目所在地设区市行业主管部门出具的证明材料。</w:t>
      </w:r>
    </w:p>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3、在建合同工程的开始时间为合同工程中标通知书发出之日（不通过招标方式的，开始时间为合同签订之日），结束时间为该合同工程通过交工验收或合同解除之日。</w:t>
      </w:r>
    </w:p>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4、拟委任项目经理是否有“在建合同工程”按以下原则认定：</w:t>
      </w:r>
    </w:p>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a.若合同协议书尚未签订，则中标通知书中明确的项目经理和备选项目经理均视为有“在建合同工程”；</w:t>
      </w:r>
    </w:p>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b.若合同协议书已签订的，则仅合同协议书中明确的项目经理视为有“在建合同工程”。</w:t>
      </w:r>
    </w:p>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c.在建合同工程未通过交工验收或合同解除前，合同协议书中明确的项目经理已经更换的，则现任项目经理视为有“在建合同工程”，同时应在投标文件中附项目发包人的同意更换证明材料，否则更换前后的项目经理均视为有“在建合同工程”。</w:t>
      </w:r>
    </w:p>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5、“在建项目”的地域和投资性质界定：在中华人民共和国境内的所有投资项目。</w:t>
      </w:r>
    </w:p>
    <w:p>
      <w:pPr>
        <w:pStyle w:val="12"/>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 投标人主要管理人员中项目经理的职称证信息、建造师注册证书信息、在有效期内的安全生产考核合格证书信息以及项目技术负责人的职称证信息、在有效期内的安全生产考核合格证书信息在浙江省交通运输厅建设市场诚信信息系统中已全部公开的，可在诚信信息系统一览表后提供含有该系统水印的《主要人员信息一览表》打印件或截图。</w:t>
      </w:r>
    </w:p>
    <w:p>
      <w:pPr>
        <w:pStyle w:val="13"/>
        <w:spacing w:before="159"/>
        <w:ind w:left="0" w:leftChars="0" w:firstLine="422"/>
        <w:rPr>
          <w:rFonts w:hint="eastAsia" w:ascii="宋体" w:hAnsi="宋体" w:cs="宋体"/>
          <w:b/>
          <w:bCs/>
          <w:color w:val="auto"/>
          <w:szCs w:val="21"/>
          <w:highlight w:val="none"/>
        </w:rPr>
      </w:pPr>
      <w:r>
        <w:rPr>
          <w:rFonts w:hint="eastAsia" w:ascii="宋体" w:hAnsi="宋体" w:cs="宋体"/>
          <w:b/>
          <w:bCs/>
          <w:color w:val="auto"/>
          <w:szCs w:val="21"/>
          <w:highlight w:val="none"/>
        </w:rPr>
        <w:t>7、根据住房和城乡建设部办公厅发布的《住房和城乡建设部办公厅关于全面实行一级建造师电子注册证书的通知》（建办市〔2021〕40 号）规定：“自 2022 年 1 月 1 日起，一级建造师统一使用电子证书，纸质注册证书作废”，故纸质一级建造师注册证书属于无效证书。同时，一级建造师电子注册证书的签名、有效期等相关信息满足该文件的相关规定方可认定为有效的建造师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434ED"/>
    <w:multiLevelType w:val="singleLevel"/>
    <w:tmpl w:val="D5B434ED"/>
    <w:lvl w:ilvl="0" w:tentative="0">
      <w:start w:val="1"/>
      <w:numFmt w:val="decimal"/>
      <w:suff w:val="nothing"/>
      <w:lvlText w:val="%1、"/>
      <w:lvlJc w:val="left"/>
    </w:lvl>
  </w:abstractNum>
  <w:abstractNum w:abstractNumId="1">
    <w:nsid w:val="DE453D5A"/>
    <w:multiLevelType w:val="singleLevel"/>
    <w:tmpl w:val="DE453D5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ThmNjBiOTM5MjA4Mjk0NGMxZjAwOTE1YzUyOGQifQ=="/>
  </w:docVars>
  <w:rsids>
    <w:rsidRoot w:val="658623D3"/>
    <w:rsid w:val="65862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left="200" w:firstLine="200" w:firstLineChars="200"/>
    </w:pPr>
  </w:style>
  <w:style w:type="paragraph" w:styleId="3">
    <w:name w:val="Body Text Indent"/>
    <w:basedOn w:val="1"/>
    <w:next w:val="4"/>
    <w:qFormat/>
    <w:uiPriority w:val="0"/>
    <w:pPr>
      <w:spacing w:after="120"/>
      <w:ind w:left="420" w:leftChars="200"/>
    </w:pPr>
    <w:rPr>
      <w:rFonts w:ascii="Calibri" w:hAnsi="Calibri" w:eastAsia="宋体" w:cs="Times New Roman"/>
    </w:r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framePr w:wrap="around"/>
      <w:ind w:firstLine="420" w:firstLineChars="100"/>
    </w:pPr>
    <w:rPr>
      <w:rFonts w:ascii="Times New Roman" w:cs="Calibri"/>
    </w:rPr>
  </w:style>
  <w:style w:type="paragraph" w:customStyle="1" w:styleId="6">
    <w:name w:val="正文文本_0"/>
    <w:basedOn w:val="7"/>
    <w:qFormat/>
    <w:uiPriority w:val="0"/>
    <w:pPr>
      <w:framePr w:hSpace="180" w:wrap="around" w:vAnchor="page" w:hAnchor="margin" w:y="3702"/>
      <w:spacing w:beforeLines="50" w:afterLines="50"/>
    </w:pPr>
    <w:rPr>
      <w:rFonts w:ascii="宋体" w:hAnsi="Times New Roman"/>
      <w:szCs w:val="21"/>
    </w:rPr>
  </w:style>
  <w:style w:type="paragraph" w:customStyle="1" w:styleId="7">
    <w:name w:val="正文_1"/>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样式3"/>
    <w:basedOn w:val="11"/>
    <w:uiPriority w:val="0"/>
    <w:pPr>
      <w:spacing w:before="120" w:after="0"/>
      <w:jc w:val="center"/>
    </w:pPr>
    <w:rPr>
      <w:rFonts w:ascii="Times New Roman" w:hAnsi="Times New Roman" w:eastAsia="黑体"/>
      <w:b w:val="0"/>
      <w:sz w:val="30"/>
      <w:szCs w:val="30"/>
    </w:rPr>
  </w:style>
  <w:style w:type="paragraph" w:customStyle="1" w:styleId="11">
    <w:name w:val="标题 1_0"/>
    <w:basedOn w:val="12"/>
    <w:next w:val="12"/>
    <w:qFormat/>
    <w:uiPriority w:val="0"/>
    <w:pPr>
      <w:keepNext/>
      <w:keepLines/>
      <w:spacing w:before="340" w:after="330" w:line="576" w:lineRule="auto"/>
      <w:outlineLvl w:val="0"/>
    </w:pPr>
    <w:rPr>
      <w:b/>
      <w:bCs/>
      <w:kern w:val="44"/>
      <w:sz w:val="44"/>
      <w:szCs w:val="44"/>
    </w:rPr>
  </w:style>
  <w:style w:type="paragraph" w:customStyle="1" w:styleId="12">
    <w:name w:val="正文_0"/>
    <w:basedOn w:val="7"/>
    <w:next w:val="13"/>
    <w:qFormat/>
    <w:uiPriority w:val="0"/>
    <w:pPr>
      <w:widowControl w:val="0"/>
      <w:jc w:val="both"/>
    </w:pPr>
    <w:rPr>
      <w:kern w:val="2"/>
      <w:sz w:val="21"/>
      <w:szCs w:val="22"/>
      <w:lang w:val="en-US" w:eastAsia="zh-CN" w:bidi="ar-SA"/>
    </w:rPr>
  </w:style>
  <w:style w:type="paragraph" w:customStyle="1" w:styleId="13">
    <w:name w:val="正文首行缩进 2_0"/>
    <w:basedOn w:val="14"/>
    <w:qFormat/>
    <w:uiPriority w:val="0"/>
    <w:pPr>
      <w:spacing w:after="120"/>
      <w:ind w:left="420" w:leftChars="200"/>
    </w:pPr>
    <w:rPr>
      <w:rFonts w:ascii="Times New Roman" w:hAnsi="Times New Roman"/>
      <w:spacing w:val="0"/>
    </w:rPr>
  </w:style>
  <w:style w:type="paragraph" w:customStyle="1" w:styleId="14">
    <w:name w:val="正文文本缩进_0"/>
    <w:basedOn w:val="12"/>
    <w:qFormat/>
    <w:uiPriority w:val="0"/>
    <w:pPr>
      <w:spacing w:before="156" w:beforeLines="50"/>
      <w:ind w:firstLine="420" w:firstLineChars="200"/>
    </w:pPr>
    <w:rPr>
      <w:rFonts w:ascii="宋体" w:hAnsi="宋体"/>
      <w:spacing w:val="-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2023-03-10T03:04:00Z</dcterms:created>
  <dc:creator>O_Y</dc:creator>
  <cp:lastModifiedBy>O_Y</cp:lastModifiedBy>
  <dcterms:modified xsi:type="dcterms:W3CDTF">2023-03-10T03:05:09Z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51A72479CAAC4E3F96C69A6BEBB582FB</vt:lpwstr>
  </property>
</Properties>
</file>