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 xml:space="preserve">附件2 </w:t>
      </w:r>
    </w:p>
    <w:p>
      <w:pPr>
        <w:pStyle w:val="2"/>
        <w:ind w:left="0" w:leftChars="0" w:firstLine="0" w:firstLineChars="0"/>
        <w:jc w:val="center"/>
        <w:rPr>
          <w:rFonts w:ascii="Times New Roman" w:hAnsi="Times New Roman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参会单位名单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482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序号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单  位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30"/>
              </w:rPr>
              <w:t>浙江省交通运输厅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2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浙江省港航管理中心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3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宁波市发展和改革委员会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4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宁波市交通运输局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5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宁波市生态环境局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6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宁波海事局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7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宁波市港航管理中心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8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宁波市交通工程管理中心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9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宁波市住房和城乡建设局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10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30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30"/>
              </w:rPr>
              <w:t>宁波市应急管理局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30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11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30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30"/>
              </w:rPr>
              <w:t>宁波市卫生健康委员会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12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30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北仑区交通运输局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13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30"/>
              </w:rPr>
              <w:t>宁波梅山保税港区建设管理局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14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30"/>
              </w:rPr>
              <w:t>宁波舟山港集团有限公司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15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宁波舟山港股份有限公司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16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宁波梅东集装箱码头有限公司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1-2人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17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宁波港建设开发有限公司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18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中交水运规划设计院有限公司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19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中交第三航务工程勘察设计院有限公司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20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浙江海港工程管理有限公司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21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中交第三航务工程局有限公司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9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22</w:t>
            </w:r>
          </w:p>
        </w:tc>
        <w:tc>
          <w:tcPr>
            <w:tcW w:w="482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中交上海航道局有限公司</w:t>
            </w:r>
          </w:p>
        </w:tc>
        <w:tc>
          <w:tcPr>
            <w:tcW w:w="21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1人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/>
          <w:b w:val="0"/>
          <w:bCs w:val="0"/>
        </w:rPr>
      </w:pPr>
    </w:p>
    <w:p>
      <w:pPr>
        <w:pStyle w:val="2"/>
        <w:ind w:firstLine="560" w:firstLineChars="20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注：会议其他参会单位请项目业主商宁波市港航管理中心确定并通知。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1748F"/>
    <w:rsid w:val="462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2022-04-22T01:57:00Z</dcterms:created>
  <dc:creator>dell</dc:creator>
  <cp:lastModifiedBy>dell</cp:lastModifiedBy>
  <dcterms:modified xsi:type="dcterms:W3CDTF">2022-04-22T01:57:33Z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DB1BE8B73209447795ED8E630E671E32</vt:lpwstr>
  </property>
</Properties>
</file>