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宋体" w:eastAsia="方正小标宋简体"/>
          <w:bCs/>
          <w:szCs w:val="32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bCs/>
          <w:szCs w:val="32"/>
        </w:rPr>
        <w:t>附件1</w:t>
      </w:r>
    </w:p>
    <w:p>
      <w:pPr>
        <w:jc w:val="center"/>
        <w:rPr>
          <w:rFonts w:hint="eastAsia" w:ascii="黑体" w:eastAsia="黑体"/>
          <w:szCs w:val="24"/>
        </w:rPr>
      </w:pPr>
      <w:r>
        <w:rPr>
          <w:rFonts w:hint="eastAsia" w:ascii="方正小标宋简体" w:hAnsi="宋体" w:eastAsia="方正小标宋简体"/>
          <w:bCs/>
          <w:sz w:val="44"/>
          <w:szCs w:val="24"/>
        </w:rPr>
        <w:t>2021年上半年公路养护工程从业资质审核</w:t>
      </w:r>
    </w:p>
    <w:p>
      <w:pPr>
        <w:spacing w:line="580" w:lineRule="exact"/>
        <w:jc w:val="center"/>
        <w:rPr>
          <w:rFonts w:hint="eastAsia" w:ascii="方正小标宋简体" w:hAnsi="宋体" w:eastAsia="方正小标宋简体"/>
          <w:bCs/>
          <w:sz w:val="21"/>
          <w:szCs w:val="21"/>
        </w:rPr>
      </w:pPr>
      <w:r>
        <w:rPr>
          <w:rFonts w:hint="eastAsia" w:ascii="方正小标宋简体" w:hAnsi="宋体" w:eastAsia="方正小标宋简体"/>
          <w:bCs/>
          <w:sz w:val="44"/>
          <w:szCs w:val="24"/>
        </w:rPr>
        <w:t>通过单位名单</w:t>
      </w:r>
    </w:p>
    <w:tbl>
      <w:tblPr>
        <w:tblStyle w:val="3"/>
        <w:tblW w:w="1074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347"/>
        <w:gridCol w:w="2873"/>
        <w:gridCol w:w="1456"/>
        <w:gridCol w:w="1178"/>
        <w:gridCol w:w="11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公司名称</w:t>
            </w:r>
          </w:p>
        </w:tc>
        <w:tc>
          <w:tcPr>
            <w:tcW w:w="2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审核通过的资质类别</w:t>
            </w: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地市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受理分类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杭州皓宇路桥养护有限公司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二甲、二乙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杭州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新申请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建德市路安交通设施有限公司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二甲、二乙、三甲、三乙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杭州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新申请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宁波河祥生态建设有限公司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三乙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新申请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浙江嘉鸿建设工程有限公司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三甲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新申请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绍兴金朋环境建设有限公司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二乙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绍兴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新申请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诸暨鼎鸿建设有限公司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三乙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绍兴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新申请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嘉兴恒禹建设有限公司 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二甲、二乙、三甲、三乙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嘉兴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新申请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浙江华舟建设有限公司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三甲、三乙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嘉兴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新申请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浙江森科建设有限公司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三甲、三乙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嘉兴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新申请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湖州南浔城建工程有限公司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三乙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湖州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新申请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湖州南滨建设有限公司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二乙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湖州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新申请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浙江建成公路工程有限公司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二乙、三乙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衢州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新申请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浙江兴瑜交通建设有限公司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三甲、三乙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衢州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新申请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浙江博睿园林建设有限公司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三甲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衢州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新申请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衢州腾越建设有限公司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二乙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衢州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新申请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浙江咏正新型材料有限公司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二甲、二乙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衢州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新申请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青田县交通建设工程有限公司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二乙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丽水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新申请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岩土科技股份有限公司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二乙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杭州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新申请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三类甲乙业绩不满足要求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浙江中裕建设有限公司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三甲、三乙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新申请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二类甲乙业绩不满足要求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嘉兴市宏图路桥有限责任公司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三甲、三乙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嘉兴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新申请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二类甲乙业绩不满足要求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湖州立华路桥工程有限公司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二乙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湖州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新申请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无三甲业绩证明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浙江交工高等级公路养护有限公司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一类、二甲、二乙、三甲、三乙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杭州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延续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宇航交通建设集团有限公司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一类、二甲、三甲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杭州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延续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杭州交投科技工程有限公司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一类、二甲、二乙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杭州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延续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先高路桥有限公司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二甲、二乙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杭州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延续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杭州交通高等级公路养护有限公司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二甲、三甲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杭州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延续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路歌交通建设集团有限公司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二甲、二乙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杭州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延续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宁波日月交通安全设施工程有限公司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三甲、三乙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延续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余姚市公路养护应急抢险中心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二甲、二乙、三甲、三乙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延续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余姚市姚东公路养护有限公司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二甲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延续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永嘉县交通工程公司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二甲、二乙、三甲、三乙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延续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温州交通建设集团有限公司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二甲、二乙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延续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温州市凯达交通工程有限公司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二甲、二乙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延续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浙江省泰顺县交通工程有限公司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二乙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延续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3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浙江华安泰工程集团有限公司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二甲、二乙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延续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浙江经纬路桥工程有限公司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一类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绍兴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延续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3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浙江联程交通工程有限公司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二甲、二乙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绍兴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延续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3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浙江天宇交通建设集团有限公司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二甲、三甲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绍兴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延续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3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嘉兴市中路建设工程有限公司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二甲、二乙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嘉兴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延续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秦山伟业建设集团有限公司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二甲、二乙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嘉兴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延续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3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浙江嘉桥交通建设有限公司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二甲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嘉兴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延续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3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浙江正方交通建设有限公司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二甲、三甲、三乙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金华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延续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3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金华市鑫畅公路养护工程有限公司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二甲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金华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延续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3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兰溪市通达公路养护工程有限公司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二甲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金华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延续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3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浙江顺成建设有限公司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二甲、二乙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衢州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延续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3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浙江成明公路建设有限公司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二甲、二乙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衢州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延续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3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宁波鼎立建设有限公司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二乙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延续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二甲不满足要求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3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浙江省建投交通基础建设集团有限公司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二甲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杭州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变更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3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杭州临安昌化公路工程有限公司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二甲、二乙、三甲、三乙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杭州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变更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中能建华东润业工程建设有限公司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二甲、二乙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变更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3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诸暨市交投公路工程有限公司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二甲、二乙、三甲、三乙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绍兴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变更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3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金华迅达建设有限公司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二甲、二乙、三甲、三乙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金华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变更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3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浙江八咏公路工程集团有限公司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二甲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金华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变更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3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常山县定阳公路养护有限公司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二甲、二乙、三甲、三乙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衢州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变更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3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庆元县众鑫交通建设有限公司扫描件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二甲、二乙、三甲、三乙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丽水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变更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3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嘉兴卓跃交工科技有限公司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二甲、二乙、三甲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嘉兴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重新核定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580" w:lineRule="atLeast"/>
        <w:ind w:right="1260"/>
        <w:rPr>
          <w:rFonts w:hint="eastAsia" w:ascii="仿宋_GB2312"/>
        </w:rPr>
      </w:pPr>
    </w:p>
    <w:p/>
    <w:sectPr>
      <w:footerReference r:id="rId3" w:type="default"/>
      <w:footerReference r:id="rId4" w:type="even"/>
      <w:pgSz w:w="11906" w:h="16838"/>
      <w:pgMar w:top="1985" w:right="1531" w:bottom="1701" w:left="1531" w:header="851" w:footer="1304" w:gutter="0"/>
      <w:cols w:space="425" w:num="1"/>
      <w:docGrid w:linePitch="600" w:charSpace="-12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="仿宋_GB2312"/>
        <w:sz w:val="28"/>
      </w:rPr>
    </w:pPr>
    <w:r>
      <w:rPr>
        <w:rFonts w:hint="eastAsia" w:ascii="仿宋_GB2312"/>
        <w:kern w:val="0"/>
        <w:sz w:val="28"/>
      </w:rPr>
      <w:t xml:space="preserve"> -</w:t>
    </w:r>
    <w:r>
      <w:rPr>
        <w:rFonts w:hint="eastAsia" w:ascii="仿宋_GB2312"/>
        <w:kern w:val="0"/>
        <w:sz w:val="28"/>
      </w:rPr>
      <w:fldChar w:fldCharType="begin"/>
    </w:r>
    <w:r>
      <w:rPr>
        <w:rFonts w:hint="eastAsia" w:ascii="仿宋_GB2312"/>
        <w:kern w:val="0"/>
        <w:sz w:val="28"/>
      </w:rPr>
      <w:instrText xml:space="preserve"> PAGE </w:instrText>
    </w:r>
    <w:r>
      <w:rPr>
        <w:rFonts w:hint="eastAsia" w:ascii="仿宋_GB2312"/>
        <w:kern w:val="0"/>
        <w:sz w:val="28"/>
      </w:rPr>
      <w:fldChar w:fldCharType="separate"/>
    </w:r>
    <w:r>
      <w:rPr>
        <w:rFonts w:ascii="仿宋_GB2312"/>
        <w:kern w:val="0"/>
        <w:sz w:val="28"/>
      </w:rPr>
      <w:t>1</w:t>
    </w:r>
    <w:r>
      <w:rPr>
        <w:rFonts w:hint="eastAsia" w:ascii="仿宋_GB2312"/>
        <w:kern w:val="0"/>
        <w:sz w:val="28"/>
      </w:rPr>
      <w:fldChar w:fldCharType="end"/>
    </w:r>
    <w:r>
      <w:rPr>
        <w:rFonts w:hint="eastAsia" w:ascii="仿宋_GB2312"/>
        <w:kern w:val="0"/>
        <w:sz w:val="28"/>
      </w:rPr>
      <w:t xml:space="preserve">-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8B3610"/>
    <w:rsid w:val="458B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6">
    <w:name w:val="发文"/>
    <w:basedOn w:val="1"/>
    <w:qFormat/>
    <w:uiPriority w:val="0"/>
    <w:pPr>
      <w:adjustRightInd w:val="0"/>
      <w:snapToGrid w:val="0"/>
      <w:spacing w:line="580" w:lineRule="exact"/>
      <w:ind w:firstLine="200" w:firstLineChars="200"/>
    </w:pPr>
    <w:rPr>
      <w:rFonts w:ascii="仿宋_GB231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2021-07-21T07:07:00Z</dcterms:created>
  <dc:creator>dell</dc:creator>
  <cp:lastModifiedBy>dell</cp:lastModifiedBy>
  <dcterms:modified xsi:type="dcterms:W3CDTF">2021-07-21T07:07:30Z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D80A857FE38F49F8B3568531A16CEBA9</vt:lpwstr>
  </property>
</Properties>
</file>