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仿宋" w:hAnsi="仿宋" w:eastAsia="仿宋" w:cs="仿宋"/>
          <w:szCs w:val="21"/>
        </w:rPr>
      </w:pPr>
      <w:r>
        <w:rPr>
          <w:rFonts w:hint="eastAsia" w:ascii="仿宋" w:hAnsi="仿宋" w:eastAsia="仿宋" w:cs="仿宋"/>
          <w:szCs w:val="21"/>
        </w:rPr>
        <w:t>附录</w:t>
      </w:r>
    </w:p>
    <w:p>
      <w:pPr>
        <w:spacing w:line="360" w:lineRule="auto"/>
        <w:rPr>
          <w:rFonts w:ascii="仿宋" w:hAnsi="仿宋" w:eastAsia="仿宋" w:cs="仿宋"/>
        </w:rPr>
      </w:pPr>
      <w:bookmarkStart w:id="0" w:name="EBf51333bdcb0c497ca15c6a0ca443d8e8"/>
      <w:r>
        <w:rPr>
          <w:rFonts w:hint="eastAsia" w:ascii="仿宋" w:hAnsi="仿宋" w:eastAsia="仿宋" w:cs="仿宋"/>
          <w:sz w:val="20"/>
        </w:rPr>
        <w:t xml:space="preserve"> </w:t>
      </w:r>
      <w:bookmarkEnd w:id="0"/>
      <w:bookmarkStart w:id="1" w:name="EBb23999b5e26a4ac29ee2f7c6a5a266c8"/>
      <w:r>
        <w:rPr>
          <w:rFonts w:hint="eastAsia" w:ascii="仿宋" w:hAnsi="仿宋" w:eastAsia="仿宋" w:cs="仿宋"/>
          <w:sz w:val="20"/>
        </w:rPr>
        <w:t xml:space="preserve"> </w:t>
      </w:r>
      <w:bookmarkEnd w:id="1"/>
      <w:bookmarkStart w:id="2" w:name="EB39a5d1a88c824f5d93c0af5037d8878f"/>
      <w:r>
        <w:rPr>
          <w:rFonts w:hint="eastAsia" w:ascii="仿宋" w:hAnsi="仿宋" w:eastAsia="仿宋" w:cs="仿宋"/>
          <w:sz w:val="20"/>
        </w:rPr>
        <w:t xml:space="preserve"> </w:t>
      </w:r>
      <w:bookmarkEnd w:id="2"/>
    </w:p>
    <w:p>
      <w:pPr>
        <w:pStyle w:val="3"/>
        <w:jc w:val="center"/>
        <w:rPr>
          <w:rFonts w:ascii="仿宋" w:hAnsi="仿宋" w:eastAsia="仿宋" w:cs="仿宋"/>
          <w:szCs w:val="21"/>
        </w:rPr>
      </w:pPr>
      <w:bookmarkStart w:id="3" w:name="_Toc4478"/>
      <w:bookmarkStart w:id="4" w:name="_Toc452457626"/>
      <w:r>
        <w:rPr>
          <w:rFonts w:hint="eastAsia" w:ascii="仿宋" w:hAnsi="仿宋" w:eastAsia="仿宋" w:cs="仿宋"/>
        </w:rPr>
        <w:t>附录1 资格审查条件（资质最低要求）</w:t>
      </w:r>
      <w:bookmarkEnd w:id="3"/>
      <w:bookmarkEnd w:id="4"/>
    </w:p>
    <w:p>
      <w:pPr>
        <w:spacing w:line="360" w:lineRule="auto"/>
        <w:jc w:val="center"/>
        <w:rPr>
          <w:rFonts w:ascii="仿宋" w:hAnsi="仿宋" w:eastAsia="仿宋" w:cs="仿宋"/>
          <w:szCs w:val="21"/>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750"/>
        <w:gridCol w:w="6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75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标段</w:t>
            </w:r>
          </w:p>
        </w:tc>
        <w:tc>
          <w:tcPr>
            <w:tcW w:w="642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1" w:hRule="atLeast"/>
        </w:trPr>
        <w:tc>
          <w:tcPr>
            <w:tcW w:w="275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第TJ01标段</w:t>
            </w:r>
          </w:p>
        </w:tc>
        <w:tc>
          <w:tcPr>
            <w:tcW w:w="6429" w:type="dxa"/>
            <w:vAlign w:val="center"/>
          </w:tcPr>
          <w:p>
            <w:pPr>
              <w:numPr>
                <w:ilvl w:val="0"/>
                <w:numId w:val="1"/>
              </w:numPr>
              <w:spacing w:line="360" w:lineRule="auto"/>
              <w:ind w:firstLine="420" w:firstLineChars="200"/>
              <w:rPr>
                <w:rFonts w:ascii="仿宋" w:hAnsi="仿宋" w:eastAsia="仿宋" w:cs="仿宋"/>
              </w:rPr>
            </w:pPr>
            <w:r>
              <w:rPr>
                <w:rFonts w:hint="eastAsia" w:ascii="仿宋" w:hAnsi="仿宋" w:eastAsia="仿宋" w:cs="仿宋"/>
              </w:rPr>
              <w:t>投标人应具备</w:t>
            </w:r>
            <w:bookmarkStart w:id="5" w:name="EBb83b47905c404f21ae1189911e4b376b"/>
            <w:r>
              <w:rPr>
                <w:rFonts w:hint="eastAsia" w:ascii="仿宋" w:hAnsi="仿宋" w:eastAsia="仿宋" w:cs="仿宋"/>
                <w:u w:val="single"/>
              </w:rPr>
              <w:t>独立法人资格、具</w:t>
            </w:r>
            <w:bookmarkEnd w:id="5"/>
            <w:r>
              <w:rPr>
                <w:rFonts w:hint="eastAsia" w:ascii="仿宋" w:hAnsi="仿宋" w:eastAsia="仿宋" w:cs="仿宋"/>
                <w:szCs w:val="21"/>
                <w:u w:val="single"/>
              </w:rPr>
              <w:t>同时具有</w:t>
            </w:r>
            <w:r>
              <w:rPr>
                <w:rFonts w:hint="eastAsia" w:ascii="仿宋" w:hAnsi="仿宋" w:eastAsia="仿宋" w:cs="仿宋"/>
                <w:b/>
                <w:bCs/>
                <w:szCs w:val="21"/>
                <w:u w:val="single"/>
              </w:rPr>
              <w:t>公路工程施工总承包二级及以上和市政公用工程施工总承包三级及以上</w:t>
            </w:r>
            <w:r>
              <w:rPr>
                <w:rFonts w:hint="eastAsia" w:ascii="仿宋" w:hAnsi="仿宋" w:eastAsia="仿宋" w:cs="仿宋"/>
              </w:rPr>
              <w:t>资质 ，并在业绩、人员、设备、资金等方面具有相应的施工能力；</w:t>
            </w:r>
          </w:p>
          <w:p>
            <w:pPr>
              <w:spacing w:line="360" w:lineRule="auto"/>
              <w:ind w:firstLine="420" w:firstLineChars="200"/>
              <w:rPr>
                <w:rFonts w:eastAsia="仿宋"/>
              </w:rPr>
            </w:pPr>
            <w:r>
              <w:rPr>
                <w:rFonts w:hint="eastAsia" w:ascii="仿宋" w:hAnsi="仿宋" w:eastAsia="仿宋" w:cs="仿宋"/>
              </w:rPr>
              <w:t>2、本次招标接受联合体投标。联合体牵头人为公路工程施工总承包二级及以上资质，联合体成员方为市政公用工程施工总承包三级及以上资质，联合体牵头人及成员总数量不得超过2家，联合体各方不得再以自己名义单独或参加其他联合体在同一标段中的投标</w:t>
            </w:r>
            <w:r>
              <w:rPr>
                <w:rFonts w:hint="eastAsia" w:ascii="仿宋" w:hAnsi="仿宋" w:eastAsia="仿宋" w:cs="仿宋"/>
                <w:b/>
                <w:bCs/>
              </w:rPr>
              <w:t>；</w:t>
            </w:r>
          </w:p>
          <w:p>
            <w:pPr>
              <w:spacing w:line="360" w:lineRule="auto"/>
              <w:ind w:firstLine="420" w:firstLineChars="200"/>
              <w:rPr>
                <w:rFonts w:ascii="仿宋" w:hAnsi="仿宋" w:eastAsia="仿宋" w:cs="仿宋"/>
                <w:szCs w:val="21"/>
              </w:rPr>
            </w:pPr>
            <w:r>
              <w:rPr>
                <w:rFonts w:hint="eastAsia" w:ascii="仿宋" w:hAnsi="仿宋" w:eastAsia="仿宋" w:cs="仿宋"/>
              </w:rPr>
              <w:t>2、具有公路工程</w:t>
            </w:r>
            <w:r>
              <w:rPr>
                <w:rFonts w:hint="eastAsia" w:ascii="仿宋" w:hAnsi="仿宋" w:eastAsia="仿宋" w:cs="仿宋"/>
                <w:szCs w:val="21"/>
              </w:rPr>
              <w:t>施工总承包特级、一级资质的投标人应进入交通运输部“全国公路建设市场信用信息管理系统(Http://glxy.mot.gov.cn)”中的公路工程施工资质企业名录，且投标人名称和资质与该名录中的相应企业名称和资质完全一致。</w:t>
            </w:r>
            <w:r>
              <w:rPr>
                <w:rFonts w:hint="eastAsia" w:ascii="仿宋" w:hAnsi="仿宋" w:eastAsia="仿宋" w:cs="仿宋"/>
                <w:b/>
                <w:bCs/>
                <w:szCs w:val="21"/>
              </w:rPr>
              <w:t>（投标人在投标文件中需附列入上述名录网上查询结果打印件），对于未列入上述名录或单位名称与上述名录不符或投标文件中未附列入上述名录网上查询结果打印件的投标人，资格审查不予通过。</w:t>
            </w:r>
          </w:p>
          <w:p>
            <w:pPr>
              <w:spacing w:line="360" w:lineRule="auto"/>
              <w:ind w:firstLine="422" w:firstLineChars="200"/>
              <w:rPr>
                <w:rFonts w:ascii="仿宋" w:hAnsi="仿宋" w:eastAsia="仿宋" w:cs="仿宋"/>
                <w:b/>
                <w:bCs/>
              </w:rPr>
            </w:pPr>
          </w:p>
          <w:p>
            <w:pPr>
              <w:spacing w:line="360" w:lineRule="auto"/>
              <w:rPr>
                <w:rFonts w:ascii="仿宋" w:hAnsi="仿宋" w:eastAsia="仿宋" w:cs="仿宋"/>
              </w:rPr>
            </w:pPr>
          </w:p>
        </w:tc>
      </w:tr>
    </w:tbl>
    <w:p>
      <w:pPr>
        <w:spacing w:line="360" w:lineRule="auto"/>
        <w:jc w:val="left"/>
        <w:rPr>
          <w:rFonts w:ascii="仿宋" w:hAnsi="仿宋" w:eastAsia="仿宋" w:cs="仿宋"/>
          <w:sz w:val="20"/>
          <w:szCs w:val="21"/>
        </w:rPr>
      </w:pPr>
      <w:bookmarkStart w:id="6" w:name="EB883ce9d83bad4b5fac2e10e7e84baf79"/>
      <w:r>
        <w:rPr>
          <w:rFonts w:hint="eastAsia" w:ascii="仿宋" w:hAnsi="仿宋" w:eastAsia="仿宋" w:cs="仿宋"/>
          <w:sz w:val="20"/>
          <w:szCs w:val="21"/>
        </w:rPr>
        <w:t xml:space="preserve"> </w:t>
      </w:r>
      <w:bookmarkEnd w:id="6"/>
    </w:p>
    <w:p>
      <w:pPr>
        <w:spacing w:line="360" w:lineRule="auto"/>
        <w:jc w:val="left"/>
        <w:rPr>
          <w:rFonts w:ascii="仿宋" w:hAnsi="仿宋" w:eastAsia="仿宋" w:cs="仿宋"/>
          <w:szCs w:val="21"/>
        </w:rPr>
      </w:pPr>
    </w:p>
    <w:p>
      <w:pPr>
        <w:spacing w:line="360" w:lineRule="auto"/>
        <w:jc w:val="left"/>
        <w:rPr>
          <w:rFonts w:ascii="仿宋" w:hAnsi="仿宋" w:eastAsia="仿宋" w:cs="仿宋"/>
          <w:szCs w:val="21"/>
        </w:rPr>
      </w:pPr>
      <w:r>
        <w:rPr>
          <w:rFonts w:hint="eastAsia" w:ascii="仿宋" w:hAnsi="仿宋" w:eastAsia="仿宋" w:cs="仿宋"/>
          <w:szCs w:val="21"/>
        </w:rPr>
        <w:br w:type="page"/>
      </w:r>
      <w:bookmarkStart w:id="7" w:name="EB1c3ca57666ef463d97fe82f1f30b66aa"/>
      <w:r>
        <w:rPr>
          <w:rFonts w:hint="eastAsia" w:ascii="仿宋" w:hAnsi="仿宋" w:eastAsia="仿宋" w:cs="仿宋"/>
          <w:sz w:val="20"/>
          <w:szCs w:val="21"/>
        </w:rPr>
        <w:t xml:space="preserve"> </w:t>
      </w:r>
      <w:bookmarkEnd w:id="7"/>
    </w:p>
    <w:p>
      <w:pPr>
        <w:pStyle w:val="3"/>
        <w:jc w:val="center"/>
        <w:rPr>
          <w:rFonts w:ascii="仿宋" w:hAnsi="仿宋" w:eastAsia="仿宋" w:cs="仿宋"/>
        </w:rPr>
      </w:pPr>
      <w:bookmarkStart w:id="8" w:name="_Toc452457627"/>
      <w:bookmarkStart w:id="9" w:name="_Toc31025"/>
      <w:r>
        <w:rPr>
          <w:rFonts w:hint="eastAsia" w:ascii="仿宋" w:hAnsi="仿宋" w:eastAsia="仿宋" w:cs="仿宋"/>
        </w:rPr>
        <w:t>附录2 资格审查条件（财务最低要求）</w:t>
      </w:r>
      <w:bookmarkEnd w:id="8"/>
      <w:bookmarkEnd w:id="9"/>
    </w:p>
    <w:p>
      <w:pPr>
        <w:spacing w:line="360" w:lineRule="auto"/>
        <w:jc w:val="center"/>
        <w:rPr>
          <w:rFonts w:ascii="仿宋" w:hAnsi="仿宋" w:eastAsia="仿宋" w:cs="仿宋"/>
          <w:szCs w:val="21"/>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750"/>
        <w:gridCol w:w="6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751" w:type="dxa"/>
            <w:vAlign w:val="center"/>
          </w:tcPr>
          <w:p>
            <w:pPr>
              <w:spacing w:line="360" w:lineRule="auto"/>
              <w:jc w:val="center"/>
              <w:rPr>
                <w:rFonts w:ascii="仿宋" w:hAnsi="仿宋" w:eastAsia="仿宋" w:cs="仿宋"/>
                <w:szCs w:val="21"/>
              </w:rPr>
            </w:pPr>
            <w:bookmarkStart w:id="10" w:name="EBdfc8171eef06458e9004f90c92371c3a"/>
            <w:r>
              <w:rPr>
                <w:rFonts w:hint="eastAsia" w:ascii="仿宋" w:hAnsi="仿宋" w:eastAsia="仿宋" w:cs="仿宋"/>
                <w:szCs w:val="21"/>
              </w:rPr>
              <w:t>标段</w:t>
            </w:r>
          </w:p>
        </w:tc>
        <w:tc>
          <w:tcPr>
            <w:tcW w:w="642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51" w:hRule="atLeast"/>
        </w:trPr>
        <w:tc>
          <w:tcPr>
            <w:tcW w:w="2751" w:type="dxa"/>
            <w:vAlign w:val="center"/>
          </w:tcPr>
          <w:p>
            <w:pPr>
              <w:spacing w:line="360" w:lineRule="auto"/>
              <w:jc w:val="center"/>
              <w:rPr>
                <w:rFonts w:ascii="仿宋" w:hAnsi="仿宋" w:eastAsia="仿宋" w:cs="仿宋"/>
                <w:b/>
                <w:bCs/>
                <w:szCs w:val="21"/>
              </w:rPr>
            </w:pPr>
            <w:r>
              <w:rPr>
                <w:rFonts w:hint="eastAsia" w:ascii="仿宋" w:hAnsi="仿宋" w:eastAsia="仿宋" w:cs="仿宋"/>
                <w:szCs w:val="21"/>
              </w:rPr>
              <w:t>第TJ01标段</w:t>
            </w:r>
          </w:p>
        </w:tc>
        <w:tc>
          <w:tcPr>
            <w:tcW w:w="6429" w:type="dxa"/>
          </w:tcPr>
          <w:p>
            <w:pPr>
              <w:spacing w:line="360" w:lineRule="auto"/>
              <w:rPr>
                <w:rFonts w:ascii="仿宋" w:hAnsi="仿宋" w:eastAsia="仿宋" w:cs="仿宋"/>
                <w:szCs w:val="21"/>
              </w:rPr>
            </w:pPr>
          </w:p>
          <w:p>
            <w:pPr>
              <w:spacing w:line="360" w:lineRule="auto"/>
              <w:ind w:firstLine="420" w:firstLineChars="200"/>
              <w:rPr>
                <w:rFonts w:ascii="仿宋" w:hAnsi="仿宋" w:eastAsia="仿宋" w:cs="仿宋"/>
                <w:szCs w:val="21"/>
              </w:rPr>
            </w:pPr>
            <w:r>
              <w:rPr>
                <w:rFonts w:hint="eastAsia" w:ascii="仿宋" w:hAnsi="仿宋" w:eastAsia="仿宋" w:cs="仿宋"/>
                <w:szCs w:val="21"/>
              </w:rPr>
              <w:t>承诺提供不少于</w:t>
            </w:r>
            <w:r>
              <w:rPr>
                <w:rFonts w:hint="eastAsia" w:ascii="仿宋" w:hAnsi="仿宋" w:eastAsia="仿宋" w:cs="仿宋"/>
                <w:szCs w:val="21"/>
                <w:u w:val="single"/>
              </w:rPr>
              <w:t>3000</w:t>
            </w:r>
            <w:r>
              <w:rPr>
                <w:rFonts w:hint="eastAsia" w:ascii="仿宋" w:hAnsi="仿宋" w:eastAsia="仿宋" w:cs="仿宋"/>
                <w:szCs w:val="21"/>
              </w:rPr>
              <w:t>万元人民币的流动资金（由投标人自行决定采用银行信贷证明或财务能力承诺书。</w:t>
            </w:r>
          </w:p>
          <w:p>
            <w:pPr>
              <w:spacing w:line="360" w:lineRule="auto"/>
              <w:ind w:firstLine="422" w:firstLineChars="200"/>
              <w:rPr>
                <w:rFonts w:ascii="仿宋" w:hAnsi="仿宋" w:eastAsia="仿宋" w:cs="仿宋"/>
                <w:b/>
                <w:bCs/>
                <w:szCs w:val="21"/>
              </w:rPr>
            </w:pPr>
            <w:r>
              <w:rPr>
                <w:rFonts w:hint="eastAsia" w:ascii="仿宋" w:hAnsi="仿宋" w:eastAsia="仿宋" w:cs="仿宋"/>
                <w:b/>
                <w:bCs/>
                <w:szCs w:val="21"/>
              </w:rPr>
              <w:t>若采用财务能力承诺书的，应附招标公告发布后银行出具的不少于要求流动资金的银行存款证明）。</w:t>
            </w:r>
          </w:p>
          <w:p>
            <w:pPr>
              <w:spacing w:line="360" w:lineRule="auto"/>
              <w:ind w:firstLine="422" w:firstLineChars="200"/>
              <w:rPr>
                <w:rFonts w:ascii="仿宋" w:hAnsi="仿宋" w:eastAsia="仿宋" w:cs="仿宋"/>
              </w:rPr>
            </w:pPr>
            <w:r>
              <w:rPr>
                <w:rFonts w:hint="eastAsia" w:ascii="仿宋" w:hAnsi="仿宋" w:eastAsia="仿宋" w:cs="仿宋"/>
                <w:b/>
                <w:bCs/>
                <w:szCs w:val="21"/>
              </w:rPr>
              <w:t>若采用银行信贷证明，开具银行信贷证明的银行级别：</w:t>
            </w:r>
            <w:r>
              <w:rPr>
                <w:rFonts w:hint="eastAsia" w:ascii="仿宋" w:hAnsi="仿宋" w:eastAsia="仿宋" w:cs="仿宋"/>
                <w:b/>
                <w:bCs/>
                <w:szCs w:val="21"/>
                <w:u w:val="single"/>
              </w:rPr>
              <w:t>国有或商业银行县（区、市）级及以上银行</w:t>
            </w:r>
            <w:r>
              <w:rPr>
                <w:rFonts w:hint="eastAsia" w:ascii="仿宋" w:hAnsi="仿宋" w:eastAsia="仿宋" w:cs="仿宋"/>
                <w:b/>
                <w:bCs/>
                <w:szCs w:val="21"/>
              </w:rPr>
              <w:t>。</w:t>
            </w:r>
          </w:p>
        </w:tc>
      </w:tr>
      <w:bookmarkEnd w:id="10"/>
    </w:tbl>
    <w:p>
      <w:pPr>
        <w:spacing w:line="360" w:lineRule="auto"/>
        <w:jc w:val="left"/>
        <w:rPr>
          <w:rFonts w:ascii="仿宋" w:hAnsi="仿宋" w:eastAsia="仿宋" w:cs="仿宋"/>
          <w:sz w:val="20"/>
          <w:szCs w:val="21"/>
        </w:rPr>
      </w:pPr>
    </w:p>
    <w:p>
      <w:pPr>
        <w:spacing w:line="360" w:lineRule="auto"/>
        <w:jc w:val="left"/>
        <w:rPr>
          <w:rFonts w:ascii="仿宋" w:hAnsi="仿宋" w:eastAsia="仿宋" w:cs="仿宋"/>
          <w:szCs w:val="21"/>
        </w:rPr>
      </w:pPr>
    </w:p>
    <w:p>
      <w:pPr>
        <w:spacing w:line="360" w:lineRule="auto"/>
        <w:jc w:val="left"/>
        <w:rPr>
          <w:rFonts w:ascii="仿宋" w:hAnsi="仿宋" w:eastAsia="仿宋" w:cs="仿宋"/>
          <w:szCs w:val="21"/>
        </w:rPr>
      </w:pPr>
      <w:r>
        <w:rPr>
          <w:rFonts w:hint="eastAsia" w:ascii="仿宋" w:hAnsi="仿宋" w:eastAsia="仿宋" w:cs="仿宋"/>
          <w:szCs w:val="21"/>
        </w:rPr>
        <w:br w:type="page"/>
      </w:r>
      <w:bookmarkStart w:id="11" w:name="EB83b4b73fcdc94da5a20644d8d049285b"/>
      <w:r>
        <w:rPr>
          <w:rFonts w:hint="eastAsia" w:ascii="仿宋" w:hAnsi="仿宋" w:eastAsia="仿宋" w:cs="仿宋"/>
          <w:sz w:val="20"/>
          <w:szCs w:val="21"/>
        </w:rPr>
        <w:t xml:space="preserve"> </w:t>
      </w:r>
      <w:bookmarkEnd w:id="11"/>
    </w:p>
    <w:p>
      <w:pPr>
        <w:pStyle w:val="3"/>
        <w:jc w:val="center"/>
        <w:rPr>
          <w:rFonts w:ascii="仿宋" w:hAnsi="仿宋" w:eastAsia="仿宋" w:cs="仿宋"/>
        </w:rPr>
      </w:pPr>
      <w:bookmarkStart w:id="12" w:name="_Toc24385"/>
      <w:bookmarkStart w:id="13" w:name="_Toc452457628"/>
      <w:r>
        <w:rPr>
          <w:rFonts w:hint="eastAsia" w:ascii="仿宋" w:hAnsi="仿宋" w:eastAsia="仿宋" w:cs="仿宋"/>
        </w:rPr>
        <w:t>附录3 资格审查条件（业绩最低要求）</w:t>
      </w:r>
      <w:bookmarkEnd w:id="12"/>
      <w:bookmarkEnd w:id="13"/>
    </w:p>
    <w:p>
      <w:pPr>
        <w:spacing w:line="360" w:lineRule="auto"/>
        <w:rPr>
          <w:rFonts w:ascii="仿宋" w:hAnsi="仿宋" w:eastAsia="仿宋" w:cs="仿宋"/>
        </w:rPr>
      </w:pPr>
    </w:p>
    <w:tbl>
      <w:tblPr>
        <w:tblStyle w:val="8"/>
        <w:tblW w:w="93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78"/>
        <w:gridCol w:w="71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27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标段</w:t>
            </w:r>
          </w:p>
        </w:tc>
        <w:tc>
          <w:tcPr>
            <w:tcW w:w="712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278" w:type="dxa"/>
            <w:vAlign w:val="center"/>
          </w:tcPr>
          <w:p>
            <w:pPr>
              <w:spacing w:line="360" w:lineRule="auto"/>
              <w:jc w:val="center"/>
              <w:rPr>
                <w:rFonts w:ascii="仿宋" w:hAnsi="仿宋" w:eastAsia="仿宋" w:cs="仿宋"/>
              </w:rPr>
            </w:pPr>
            <w:r>
              <w:rPr>
                <w:rFonts w:hint="eastAsia" w:ascii="仿宋" w:hAnsi="仿宋" w:eastAsia="仿宋" w:cs="仿宋"/>
              </w:rPr>
              <w:t>第TJ01标段</w:t>
            </w:r>
          </w:p>
        </w:tc>
        <w:tc>
          <w:tcPr>
            <w:tcW w:w="7121" w:type="dxa"/>
            <w:vAlign w:val="center"/>
          </w:tcPr>
          <w:p>
            <w:pPr>
              <w:spacing w:line="360" w:lineRule="auto"/>
              <w:ind w:firstLine="422" w:firstLineChars="200"/>
              <w:jc w:val="left"/>
              <w:rPr>
                <w:rFonts w:ascii="仿宋" w:hAnsi="仿宋" w:eastAsia="仿宋" w:cs="仿宋"/>
                <w:b/>
                <w:bCs/>
              </w:rPr>
            </w:pPr>
            <w:r>
              <w:rPr>
                <w:rFonts w:hint="eastAsia" w:ascii="仿宋" w:hAnsi="仿宋" w:eastAsia="仿宋" w:cs="仿宋"/>
                <w:b/>
                <w:bCs/>
              </w:rPr>
              <w:t>投标人应同时满足下述1、2两项业绩；如为联合体投标的，联合体牵头人必须满足序号1的施工业绩，联合体成员方必须满足序号2的施工业绩：</w:t>
            </w:r>
          </w:p>
          <w:p>
            <w:pPr>
              <w:spacing w:line="360" w:lineRule="auto"/>
              <w:ind w:firstLine="420" w:firstLineChars="200"/>
              <w:jc w:val="left"/>
              <w:rPr>
                <w:rFonts w:ascii="仿宋" w:hAnsi="仿宋" w:eastAsia="仿宋" w:cs="仿宋"/>
              </w:rPr>
            </w:pPr>
          </w:p>
          <w:p>
            <w:pPr>
              <w:spacing w:line="360" w:lineRule="auto"/>
              <w:ind w:firstLine="420" w:firstLineChars="200"/>
              <w:jc w:val="left"/>
              <w:rPr>
                <w:rFonts w:ascii="仿宋" w:hAnsi="仿宋" w:eastAsia="仿宋" w:cs="仿宋"/>
              </w:rPr>
            </w:pPr>
            <w:r>
              <w:rPr>
                <w:rFonts w:hint="eastAsia" w:ascii="仿宋" w:hAnsi="仿宋" w:eastAsia="仿宋" w:cs="仿宋"/>
              </w:rPr>
              <w:t>1、自2017年07月01日（以实际交工日期为准）以来按一个标段成功完成过新建(或改扩建)一级及以上公路含一座单跨60m及以上的桥梁工程施工业绩。</w:t>
            </w:r>
          </w:p>
          <w:p>
            <w:pPr>
              <w:spacing w:line="360" w:lineRule="auto"/>
              <w:ind w:firstLine="420" w:firstLineChars="200"/>
              <w:jc w:val="left"/>
              <w:rPr>
                <w:rFonts w:ascii="仿宋" w:hAnsi="仿宋" w:eastAsia="仿宋" w:cs="仿宋"/>
              </w:rPr>
            </w:pPr>
            <w:r>
              <w:rPr>
                <w:rFonts w:hint="eastAsia" w:ascii="仿宋" w:hAnsi="仿宋" w:eastAsia="仿宋" w:cs="仿宋"/>
              </w:rPr>
              <w:t>2、自2017年07月01日（以工程交工验收证书或工程竣工验收证书或竣工验收备案表时间为准）以来按一个标段成功完成过管径600mm及以上的顶管（或牵引）工艺施工业绩。</w:t>
            </w:r>
          </w:p>
          <w:p>
            <w:pPr>
              <w:pStyle w:val="2"/>
              <w:ind w:firstLine="241" w:firstLineChars="100"/>
            </w:pPr>
            <w:bookmarkStart w:id="14" w:name="_Toc11397"/>
            <w:r>
              <w:rPr>
                <w:rFonts w:hint="eastAsia" w:ascii="仿宋" w:hAnsi="仿宋" w:eastAsia="仿宋" w:cs="仿宋"/>
                <w:sz w:val="24"/>
                <w:szCs w:val="24"/>
              </w:rPr>
              <w:t>注：同一项目同时满足上述两项业绩的，予以认可。</w:t>
            </w:r>
            <w:bookmarkEnd w:id="14"/>
          </w:p>
        </w:tc>
      </w:tr>
    </w:tbl>
    <w:p>
      <w:pPr>
        <w:spacing w:line="360" w:lineRule="auto"/>
        <w:rPr>
          <w:rFonts w:ascii="仿宋" w:hAnsi="仿宋" w:eastAsia="仿宋" w:cs="仿宋"/>
        </w:rPr>
      </w:pPr>
      <w:r>
        <w:rPr>
          <w:rFonts w:hint="eastAsia" w:ascii="仿宋" w:hAnsi="仿宋" w:eastAsia="仿宋" w:cs="仿宋"/>
        </w:rPr>
        <w:t>注：1、投标人应在“第九章 投标文件格式”的“近年完成的主要类似项目情况表”后附相关资料，所附资料见投标人须知前附表3.5.3项规定。</w:t>
      </w:r>
    </w:p>
    <w:p>
      <w:pPr>
        <w:spacing w:line="360" w:lineRule="auto"/>
        <w:rPr>
          <w:rFonts w:ascii="仿宋" w:hAnsi="仿宋" w:eastAsia="仿宋" w:cs="仿宋"/>
        </w:rPr>
      </w:pPr>
      <w:bookmarkStart w:id="15" w:name="EB56369db7b41f4f369bfd54ae442fb456"/>
      <w:r>
        <w:rPr>
          <w:rFonts w:hint="eastAsia" w:ascii="仿宋" w:hAnsi="仿宋" w:eastAsia="仿宋" w:cs="仿宋"/>
          <w:sz w:val="20"/>
        </w:rPr>
        <w:t xml:space="preserve"> </w:t>
      </w:r>
      <w:bookmarkEnd w:id="15"/>
    </w:p>
    <w:p>
      <w:pPr>
        <w:spacing w:line="360" w:lineRule="auto"/>
        <w:jc w:val="left"/>
        <w:rPr>
          <w:rFonts w:ascii="仿宋" w:hAnsi="仿宋" w:eastAsia="仿宋" w:cs="仿宋"/>
          <w:szCs w:val="21"/>
        </w:rPr>
      </w:pPr>
      <w:r>
        <w:rPr>
          <w:rFonts w:hint="eastAsia" w:ascii="仿宋" w:hAnsi="仿宋" w:eastAsia="仿宋" w:cs="仿宋"/>
          <w:szCs w:val="21"/>
        </w:rPr>
        <w:br w:type="page"/>
      </w:r>
      <w:bookmarkStart w:id="16" w:name="EBd8f0d7bb68fd43a488c9286a155aa275"/>
      <w:r>
        <w:rPr>
          <w:rFonts w:hint="eastAsia" w:ascii="仿宋" w:hAnsi="仿宋" w:eastAsia="仿宋" w:cs="仿宋"/>
          <w:sz w:val="20"/>
          <w:szCs w:val="21"/>
        </w:rPr>
        <w:t xml:space="preserve"> </w:t>
      </w:r>
      <w:bookmarkEnd w:id="16"/>
    </w:p>
    <w:p>
      <w:pPr>
        <w:pStyle w:val="3"/>
        <w:jc w:val="center"/>
        <w:rPr>
          <w:rFonts w:ascii="仿宋" w:hAnsi="仿宋" w:eastAsia="仿宋" w:cs="仿宋"/>
        </w:rPr>
      </w:pPr>
      <w:bookmarkStart w:id="17" w:name="_Toc394"/>
      <w:bookmarkStart w:id="18" w:name="_Toc452457629"/>
      <w:r>
        <w:rPr>
          <w:rFonts w:hint="eastAsia" w:ascii="仿宋" w:hAnsi="仿宋" w:eastAsia="仿宋" w:cs="仿宋"/>
        </w:rPr>
        <w:t>附录4 资格审查条件（信誉最低要求）</w:t>
      </w:r>
      <w:bookmarkEnd w:id="17"/>
      <w:bookmarkEnd w:id="18"/>
    </w:p>
    <w:p>
      <w:pPr>
        <w:spacing w:line="360" w:lineRule="auto"/>
        <w:rPr>
          <w:rFonts w:ascii="仿宋" w:hAnsi="仿宋" w:eastAsia="仿宋" w:cs="仿宋"/>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750"/>
        <w:gridCol w:w="6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275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标段</w:t>
            </w:r>
          </w:p>
        </w:tc>
        <w:tc>
          <w:tcPr>
            <w:tcW w:w="642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38" w:hRule="atLeast"/>
        </w:trPr>
        <w:tc>
          <w:tcPr>
            <w:tcW w:w="2751" w:type="dxa"/>
            <w:vAlign w:val="center"/>
          </w:tcPr>
          <w:p>
            <w:pPr>
              <w:spacing w:line="360" w:lineRule="auto"/>
              <w:jc w:val="center"/>
              <w:rPr>
                <w:rFonts w:ascii="仿宋" w:hAnsi="仿宋" w:eastAsia="仿宋" w:cs="仿宋"/>
                <w:szCs w:val="21"/>
              </w:rPr>
            </w:pPr>
            <w:r>
              <w:rPr>
                <w:rFonts w:hint="eastAsia" w:ascii="仿宋" w:hAnsi="仿宋" w:eastAsia="仿宋" w:cs="仿宋"/>
              </w:rPr>
              <w:t>第TJ01标段</w:t>
            </w:r>
          </w:p>
        </w:tc>
        <w:tc>
          <w:tcPr>
            <w:tcW w:w="6429" w:type="dxa"/>
            <w:vAlign w:val="center"/>
          </w:tcPr>
          <w:p>
            <w:pPr>
              <w:spacing w:line="360" w:lineRule="auto"/>
              <w:ind w:firstLine="420" w:firstLineChars="200"/>
              <w:rPr>
                <w:rFonts w:ascii="仿宋" w:hAnsi="仿宋" w:eastAsia="仿宋" w:cs="仿宋"/>
              </w:rPr>
            </w:pPr>
            <w:r>
              <w:rPr>
                <w:rFonts w:hint="eastAsia" w:ascii="仿宋" w:hAnsi="仿宋" w:eastAsia="仿宋" w:cs="仿宋"/>
              </w:rPr>
              <w:t>1、不得存在投标人须知第1.4.3及1.4.4项情形；</w:t>
            </w:r>
          </w:p>
          <w:p>
            <w:pPr>
              <w:spacing w:line="360" w:lineRule="auto"/>
              <w:ind w:firstLine="420" w:firstLineChars="200"/>
              <w:rPr>
                <w:rFonts w:ascii="仿宋" w:hAnsi="仿宋" w:eastAsia="仿宋" w:cs="仿宋"/>
              </w:rPr>
            </w:pPr>
            <w:r>
              <w:rPr>
                <w:rFonts w:hint="eastAsia" w:ascii="仿宋" w:hAnsi="仿宋" w:eastAsia="仿宋" w:cs="仿宋"/>
              </w:rPr>
              <w:t>2、近三年（自</w:t>
            </w:r>
            <w:bookmarkStart w:id="19" w:name="EBcd72796a59fa44bf94705b9f95e4fbc5"/>
            <w:r>
              <w:rPr>
                <w:rFonts w:hint="eastAsia" w:ascii="仿宋" w:hAnsi="仿宋" w:eastAsia="仿宋" w:cs="仿宋"/>
              </w:rPr>
              <w:t>201</w:t>
            </w:r>
            <w:bookmarkEnd w:id="19"/>
            <w:r>
              <w:rPr>
                <w:rFonts w:hint="eastAsia" w:ascii="仿宋" w:hAnsi="仿宋" w:eastAsia="仿宋" w:cs="仿宋"/>
              </w:rPr>
              <w:t>9年</w:t>
            </w:r>
            <w:bookmarkStart w:id="20" w:name="EBe0e304c05a0f4033a4c3bc26d7655bf8"/>
            <w:r>
              <w:rPr>
                <w:rFonts w:hint="eastAsia" w:ascii="仿宋" w:hAnsi="仿宋" w:eastAsia="仿宋" w:cs="仿宋"/>
              </w:rPr>
              <w:t>07</w:t>
            </w:r>
            <w:bookmarkEnd w:id="20"/>
            <w:r>
              <w:rPr>
                <w:rFonts w:hint="eastAsia" w:ascii="仿宋" w:hAnsi="仿宋" w:eastAsia="仿宋" w:cs="仿宋"/>
              </w:rPr>
              <w:t>月</w:t>
            </w:r>
            <w:bookmarkStart w:id="21" w:name="EB7d378067d7044af785934a82ef8433c7"/>
            <w:r>
              <w:rPr>
                <w:rFonts w:hint="eastAsia" w:ascii="仿宋" w:hAnsi="仿宋" w:eastAsia="仿宋" w:cs="仿宋"/>
              </w:rPr>
              <w:t>01日以来）（投标人有行贿犯罪行为的认定以中国裁判文书网查询结果为准，时间以法院判决书判决日期为准）</w:t>
            </w:r>
            <w:bookmarkEnd w:id="21"/>
            <w:r>
              <w:rPr>
                <w:rFonts w:hint="eastAsia" w:ascii="仿宋" w:hAnsi="仿宋" w:eastAsia="仿宋" w:cs="仿宋"/>
              </w:rPr>
              <w:t>，投标人无行贿犯罪行为；</w:t>
            </w:r>
          </w:p>
          <w:p>
            <w:pPr>
              <w:spacing w:line="360" w:lineRule="auto"/>
              <w:rPr>
                <w:rFonts w:ascii="仿宋" w:hAnsi="仿宋" w:eastAsia="仿宋" w:cs="仿宋"/>
              </w:rPr>
            </w:pPr>
          </w:p>
        </w:tc>
      </w:tr>
    </w:tbl>
    <w:p>
      <w:pPr>
        <w:spacing w:line="360" w:lineRule="auto"/>
        <w:rPr>
          <w:rFonts w:ascii="仿宋" w:hAnsi="仿宋" w:eastAsia="仿宋" w:cs="仿宋"/>
        </w:rPr>
      </w:pPr>
    </w:p>
    <w:p>
      <w:pPr>
        <w:spacing w:line="360" w:lineRule="auto"/>
        <w:jc w:val="left"/>
        <w:rPr>
          <w:rFonts w:ascii="仿宋" w:hAnsi="仿宋" w:eastAsia="仿宋" w:cs="仿宋"/>
          <w:szCs w:val="21"/>
        </w:rPr>
      </w:pPr>
      <w:r>
        <w:rPr>
          <w:rFonts w:hint="eastAsia" w:ascii="仿宋" w:hAnsi="仿宋" w:eastAsia="仿宋" w:cs="仿宋"/>
        </w:rPr>
        <w:t>注：1、投标人应在“第九章 投标文件格式”的</w:t>
      </w:r>
      <w:r>
        <w:rPr>
          <w:rFonts w:hint="eastAsia" w:ascii="仿宋" w:hAnsi="仿宋" w:eastAsia="仿宋" w:cs="仿宋"/>
          <w:szCs w:val="21"/>
        </w:rPr>
        <w:t>“投标人的信誉情况表”后附投标人在国家企业信用信息公示系统中未被列入严重违法失信企业名单、在“信用中国”网站中未被列入失信被执行人且限制投标名单的网页截图。</w:t>
      </w:r>
    </w:p>
    <w:p>
      <w:pPr>
        <w:spacing w:line="360" w:lineRule="auto"/>
        <w:jc w:val="left"/>
        <w:rPr>
          <w:rFonts w:ascii="仿宋" w:hAnsi="仿宋" w:eastAsia="仿宋" w:cs="仿宋"/>
          <w:szCs w:val="21"/>
        </w:rPr>
      </w:pPr>
      <w:r>
        <w:rPr>
          <w:rFonts w:hint="eastAsia" w:ascii="仿宋" w:hAnsi="仿宋" w:eastAsia="仿宋" w:cs="仿宋"/>
          <w:szCs w:val="21"/>
        </w:rPr>
        <w:br w:type="page"/>
      </w:r>
    </w:p>
    <w:p>
      <w:pPr>
        <w:pStyle w:val="3"/>
        <w:jc w:val="center"/>
        <w:rPr>
          <w:rFonts w:ascii="仿宋" w:hAnsi="仿宋" w:eastAsia="仿宋" w:cs="仿宋"/>
        </w:rPr>
      </w:pPr>
      <w:bookmarkStart w:id="22" w:name="_Toc452457630"/>
      <w:bookmarkStart w:id="23" w:name="_Toc23160"/>
      <w:r>
        <w:rPr>
          <w:rFonts w:hint="eastAsia" w:ascii="仿宋" w:hAnsi="仿宋" w:eastAsia="仿宋" w:cs="仿宋"/>
        </w:rPr>
        <w:t>附录5 资格审查条件（项目经理、项目技术负责人和安全负责人最低要求）</w:t>
      </w:r>
      <w:bookmarkEnd w:id="22"/>
      <w:bookmarkEnd w:id="23"/>
    </w:p>
    <w:p>
      <w:pPr>
        <w:spacing w:line="360" w:lineRule="auto"/>
        <w:rPr>
          <w:rFonts w:ascii="仿宋" w:hAnsi="仿宋" w:eastAsia="仿宋" w:cs="仿宋"/>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43"/>
        <w:gridCol w:w="1134"/>
        <w:gridCol w:w="60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3"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人员</w:t>
            </w:r>
          </w:p>
        </w:tc>
        <w:tc>
          <w:tcPr>
            <w:tcW w:w="113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数量</w:t>
            </w:r>
          </w:p>
        </w:tc>
        <w:tc>
          <w:tcPr>
            <w:tcW w:w="608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3"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项目经理</w:t>
            </w:r>
          </w:p>
        </w:tc>
        <w:tc>
          <w:tcPr>
            <w:tcW w:w="113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w:t>
            </w:r>
          </w:p>
        </w:tc>
        <w:tc>
          <w:tcPr>
            <w:tcW w:w="6089" w:type="dxa"/>
            <w:vAlign w:val="center"/>
          </w:tcPr>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1、担任过</w:t>
            </w:r>
            <w:r>
              <w:rPr>
                <w:rFonts w:hint="eastAsia" w:ascii="仿宋" w:hAnsi="仿宋" w:eastAsia="仿宋" w:cs="仿宋"/>
                <w:sz w:val="22"/>
                <w:szCs w:val="22"/>
                <w:u w:val="single"/>
              </w:rPr>
              <w:t xml:space="preserve">一个新建（或改扩建）一级及以上公路含一座单跨跨径60m及以上的桥梁工程施工业绩 </w:t>
            </w:r>
            <w:r>
              <w:rPr>
                <w:rFonts w:hint="eastAsia" w:ascii="仿宋" w:hAnsi="仿宋" w:eastAsia="仿宋" w:cs="仿宋"/>
                <w:sz w:val="22"/>
                <w:szCs w:val="22"/>
              </w:rPr>
              <w:t xml:space="preserve">的项目经理（或项目副经理或项目技术负责人（项目总工），或设计施工总承包项目的施工负责人），有 </w:t>
            </w:r>
            <w:r>
              <w:rPr>
                <w:rFonts w:hint="eastAsia" w:ascii="仿宋" w:hAnsi="仿宋" w:eastAsia="仿宋" w:cs="仿宋"/>
                <w:sz w:val="22"/>
                <w:szCs w:val="22"/>
                <w:u w:val="single"/>
              </w:rPr>
              <w:t xml:space="preserve">公路工程专业一级 </w:t>
            </w:r>
            <w:r>
              <w:rPr>
                <w:rFonts w:hint="eastAsia" w:ascii="仿宋" w:hAnsi="仿宋" w:eastAsia="仿宋" w:cs="仿宋"/>
                <w:sz w:val="22"/>
                <w:szCs w:val="22"/>
              </w:rPr>
              <w:t>注册建造师证书，</w:t>
            </w:r>
            <w:bookmarkStart w:id="24" w:name="EB9e8e0ffa7a264cc795bc9acb9569ba65"/>
            <w:r>
              <w:rPr>
                <w:rFonts w:hint="eastAsia" w:ascii="仿宋" w:hAnsi="仿宋" w:eastAsia="仿宋" w:cs="仿宋"/>
                <w:sz w:val="22"/>
                <w:szCs w:val="22"/>
                <w:u w:val="single"/>
              </w:rPr>
              <w:t>高级工程师及以上</w:t>
            </w:r>
            <w:bookmarkEnd w:id="24"/>
            <w:r>
              <w:rPr>
                <w:rFonts w:hint="eastAsia" w:ascii="仿宋" w:hAnsi="仿宋" w:eastAsia="仿宋" w:cs="仿宋"/>
                <w:sz w:val="22"/>
                <w:szCs w:val="22"/>
              </w:rPr>
              <w:t>技术职称；</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2、有效期内的</w:t>
            </w:r>
            <w:r>
              <w:rPr>
                <w:rFonts w:hint="eastAsia" w:ascii="仿宋" w:hAnsi="仿宋" w:eastAsia="仿宋" w:cs="仿宋"/>
                <w:sz w:val="22"/>
                <w:szCs w:val="22"/>
                <w:u w:val="single"/>
              </w:rPr>
              <w:t>公路水运</w:t>
            </w:r>
            <w:r>
              <w:rPr>
                <w:rFonts w:hint="eastAsia" w:ascii="仿宋" w:hAnsi="仿宋" w:eastAsia="仿宋" w:cs="仿宋"/>
                <w:sz w:val="22"/>
                <w:szCs w:val="22"/>
              </w:rPr>
              <w:t>施工企业项目负责人安全生产考核合格证书（B类）；</w:t>
            </w:r>
          </w:p>
          <w:p>
            <w:pPr>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3、拟任项目经理投标截止日未在其他在建合同工程中任项目经理（包括设计施工总承包项目中的施工负责人）。</w:t>
            </w:r>
          </w:p>
          <w:p>
            <w:pPr>
              <w:spacing w:line="360" w:lineRule="auto"/>
              <w:ind w:firstLine="440" w:firstLineChars="200"/>
            </w:pPr>
            <w:r>
              <w:rPr>
                <w:rFonts w:hint="eastAsia" w:ascii="仿宋" w:hAnsi="仿宋" w:eastAsia="仿宋" w:cs="仿宋"/>
                <w:sz w:val="22"/>
                <w:szCs w:val="22"/>
              </w:rPr>
              <w:t>4、近三年（</w:t>
            </w:r>
            <w:r>
              <w:rPr>
                <w:rFonts w:hint="eastAsia" w:ascii="仿宋" w:hAnsi="仿宋" w:eastAsia="仿宋" w:cs="仿宋"/>
                <w:sz w:val="22"/>
                <w:szCs w:val="22"/>
                <w:u w:val="single"/>
              </w:rPr>
              <w:t>自2019年07月01日</w:t>
            </w:r>
            <w:r>
              <w:rPr>
                <w:rFonts w:hint="eastAsia" w:ascii="仿宋" w:hAnsi="仿宋" w:eastAsia="仿宋" w:cs="仿宋"/>
                <w:sz w:val="22"/>
                <w:szCs w:val="22"/>
              </w:rPr>
              <w:t>以来），拟委任项目经理无行贿犯罪行为。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3"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项目技术负责人</w:t>
            </w:r>
          </w:p>
        </w:tc>
        <w:tc>
          <w:tcPr>
            <w:tcW w:w="113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w:t>
            </w:r>
          </w:p>
        </w:tc>
        <w:tc>
          <w:tcPr>
            <w:tcW w:w="6089" w:type="dxa"/>
            <w:vAlign w:val="center"/>
          </w:tcPr>
          <w:p>
            <w:pPr>
              <w:spacing w:line="360" w:lineRule="auto"/>
              <w:ind w:firstLine="404" w:firstLineChars="200"/>
              <w:rPr>
                <w:rFonts w:ascii="仿宋" w:hAnsi="仿宋" w:eastAsia="仿宋" w:cs="仿宋"/>
              </w:rPr>
            </w:pPr>
            <w:r>
              <w:rPr>
                <w:rFonts w:hint="eastAsia" w:ascii="仿宋" w:hAnsi="仿宋" w:eastAsia="仿宋" w:cs="仿宋"/>
                <w:spacing w:val="-4"/>
              </w:rPr>
              <w:t>1、有</w:t>
            </w:r>
            <w:r>
              <w:rPr>
                <w:rFonts w:hint="eastAsia" w:ascii="仿宋" w:hAnsi="仿宋" w:eastAsia="仿宋" w:cs="仿宋"/>
                <w:spacing w:val="-4"/>
                <w:u w:val="single"/>
              </w:rPr>
              <w:t>高级工程师及以上</w:t>
            </w:r>
            <w:r>
              <w:rPr>
                <w:rFonts w:hint="eastAsia" w:ascii="仿宋" w:hAnsi="仿宋" w:eastAsia="仿宋" w:cs="仿宋"/>
              </w:rPr>
              <w:t>技术职称；</w:t>
            </w:r>
          </w:p>
          <w:p>
            <w:pPr>
              <w:spacing w:line="360" w:lineRule="auto"/>
              <w:ind w:firstLine="420" w:firstLineChars="200"/>
              <w:rPr>
                <w:rFonts w:ascii="仿宋" w:hAnsi="仿宋" w:eastAsia="仿宋" w:cs="仿宋"/>
              </w:rPr>
            </w:pPr>
            <w:r>
              <w:rPr>
                <w:rFonts w:hint="eastAsia" w:ascii="仿宋" w:hAnsi="仿宋" w:eastAsia="仿宋" w:cs="仿宋"/>
              </w:rPr>
              <w:t>2、</w:t>
            </w:r>
            <w:r>
              <w:rPr>
                <w:rFonts w:hint="eastAsia" w:ascii="仿宋" w:hAnsi="仿宋" w:eastAsia="仿宋" w:cs="仿宋"/>
                <w:sz w:val="22"/>
                <w:szCs w:val="22"/>
              </w:rPr>
              <w:t>有效期内的</w:t>
            </w:r>
            <w:r>
              <w:rPr>
                <w:rFonts w:hint="eastAsia" w:ascii="仿宋" w:hAnsi="仿宋" w:eastAsia="仿宋" w:cs="仿宋"/>
                <w:sz w:val="22"/>
                <w:szCs w:val="22"/>
                <w:u w:val="single"/>
              </w:rPr>
              <w:t>公路水运</w:t>
            </w:r>
            <w:r>
              <w:rPr>
                <w:rFonts w:hint="eastAsia" w:ascii="仿宋" w:hAnsi="仿宋" w:eastAsia="仿宋" w:cs="仿宋"/>
                <w:sz w:val="22"/>
                <w:szCs w:val="22"/>
              </w:rPr>
              <w:t>施工企业项目负责人安全生产考核合格证书（B类）；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43"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安全负责人</w:t>
            </w:r>
          </w:p>
        </w:tc>
        <w:tc>
          <w:tcPr>
            <w:tcW w:w="1134"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1</w:t>
            </w:r>
          </w:p>
        </w:tc>
        <w:tc>
          <w:tcPr>
            <w:tcW w:w="6089" w:type="dxa"/>
            <w:vAlign w:val="center"/>
          </w:tcPr>
          <w:p>
            <w:pPr>
              <w:spacing w:line="360" w:lineRule="auto"/>
              <w:ind w:firstLine="420" w:firstLineChars="200"/>
              <w:rPr>
                <w:rFonts w:ascii="仿宋" w:hAnsi="仿宋" w:eastAsia="仿宋" w:cs="仿宋"/>
                <w:spacing w:val="-4"/>
              </w:rPr>
            </w:pPr>
            <w:r>
              <w:rPr>
                <w:rFonts w:hint="eastAsia" w:ascii="仿宋" w:hAnsi="仿宋" w:eastAsia="仿宋" w:cs="仿宋"/>
              </w:rPr>
              <w:t>有效期内的</w:t>
            </w:r>
            <w:r>
              <w:rPr>
                <w:rFonts w:hint="eastAsia" w:ascii="仿宋" w:hAnsi="仿宋" w:eastAsia="仿宋" w:cs="仿宋"/>
                <w:sz w:val="22"/>
                <w:szCs w:val="22"/>
                <w:u w:val="single"/>
              </w:rPr>
              <w:t>公路水运</w:t>
            </w:r>
            <w:r>
              <w:rPr>
                <w:rFonts w:hint="eastAsia" w:ascii="仿宋" w:hAnsi="仿宋" w:eastAsia="仿宋" w:cs="仿宋"/>
              </w:rPr>
              <w:t>施工企业专职安全生产管理人员安全生产考核合格证书（C类）。</w:t>
            </w:r>
          </w:p>
        </w:tc>
      </w:tr>
    </w:tbl>
    <w:p>
      <w:pPr>
        <w:wordWrap w:val="0"/>
        <w:spacing w:line="280" w:lineRule="exact"/>
        <w:jc w:val="left"/>
        <w:rPr>
          <w:rFonts w:ascii="仿宋" w:hAnsi="仿宋" w:eastAsia="仿宋" w:cs="仿宋"/>
        </w:rPr>
      </w:pPr>
      <w:r>
        <w:rPr>
          <w:rFonts w:hint="eastAsia" w:ascii="仿宋" w:hAnsi="仿宋" w:eastAsia="仿宋" w:cs="仿宋"/>
        </w:rPr>
        <w:t>注：1. 在建合同工程的开始时间为该合同工程中标通知书发出之日（不通过招标方式的，开始时间为合同签订之日），结束时间为该合同工程通过交工验收或合同解除之日。</w:t>
      </w:r>
    </w:p>
    <w:p>
      <w:pPr>
        <w:wordWrap w:val="0"/>
        <w:spacing w:line="280" w:lineRule="exact"/>
        <w:ind w:firstLine="420" w:firstLineChars="200"/>
        <w:jc w:val="left"/>
        <w:rPr>
          <w:rFonts w:ascii="仿宋" w:hAnsi="仿宋" w:eastAsia="仿宋" w:cs="仿宋"/>
        </w:rPr>
      </w:pPr>
      <w:r>
        <w:rPr>
          <w:rFonts w:hint="eastAsia" w:ascii="仿宋" w:hAnsi="仿宋" w:eastAsia="仿宋" w:cs="仿宋"/>
        </w:rPr>
        <w:t>2. 拟委任项目经理是否有“在建合同工程”按以下原则认定：</w:t>
      </w:r>
    </w:p>
    <w:p>
      <w:pPr>
        <w:wordWrap w:val="0"/>
        <w:spacing w:line="280" w:lineRule="exact"/>
        <w:ind w:firstLine="420" w:firstLineChars="200"/>
        <w:jc w:val="left"/>
        <w:rPr>
          <w:rFonts w:ascii="仿宋" w:hAnsi="仿宋" w:eastAsia="仿宋" w:cs="仿宋"/>
        </w:rPr>
      </w:pPr>
      <w:r>
        <w:rPr>
          <w:rFonts w:hint="eastAsia" w:ascii="仿宋" w:hAnsi="仿宋" w:eastAsia="仿宋" w:cs="仿宋"/>
        </w:rPr>
        <w:t>(1).若该合同工程协议书尚未签订，则其中标通知书中明确的项目经理和备选项目经理均视为有“在建合同工程”；</w:t>
      </w:r>
    </w:p>
    <w:p>
      <w:pPr>
        <w:wordWrap w:val="0"/>
        <w:spacing w:line="280" w:lineRule="exact"/>
        <w:ind w:firstLine="420" w:firstLineChars="200"/>
        <w:jc w:val="left"/>
        <w:rPr>
          <w:rFonts w:ascii="仿宋" w:hAnsi="仿宋" w:eastAsia="仿宋" w:cs="仿宋"/>
        </w:rPr>
      </w:pPr>
      <w:r>
        <w:rPr>
          <w:rFonts w:hint="eastAsia" w:ascii="仿宋" w:hAnsi="仿宋" w:eastAsia="仿宋" w:cs="仿宋"/>
        </w:rPr>
        <w:t>(2).若该合同工程协议书已签订的，则仅合同协议书中明确的项目经理视为有“在建合同工程”。</w:t>
      </w:r>
    </w:p>
    <w:p>
      <w:pPr>
        <w:wordWrap w:val="0"/>
        <w:spacing w:line="280" w:lineRule="exact"/>
        <w:ind w:firstLine="420" w:firstLineChars="200"/>
        <w:jc w:val="left"/>
        <w:rPr>
          <w:rFonts w:ascii="仿宋" w:hAnsi="仿宋" w:eastAsia="仿宋" w:cs="仿宋"/>
          <w:szCs w:val="21"/>
        </w:rPr>
      </w:pPr>
      <w:r>
        <w:rPr>
          <w:rFonts w:hint="eastAsia" w:ascii="仿宋" w:hAnsi="仿宋" w:eastAsia="仿宋" w:cs="仿宋"/>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wordWrap w:val="0"/>
        <w:spacing w:line="280" w:lineRule="exact"/>
        <w:ind w:firstLine="420" w:firstLineChars="200"/>
        <w:jc w:val="left"/>
        <w:rPr>
          <w:rFonts w:ascii="仿宋" w:hAnsi="仿宋" w:eastAsia="仿宋" w:cs="仿宋"/>
          <w:szCs w:val="21"/>
        </w:rPr>
      </w:pPr>
      <w:r>
        <w:rPr>
          <w:rFonts w:hint="eastAsia" w:ascii="仿宋" w:hAnsi="仿宋" w:eastAsia="仿宋" w:cs="仿宋"/>
          <w:szCs w:val="21"/>
        </w:rPr>
        <w:t>3. “在建合同工程”范围：包括在中华人民共和国境内所有建设工程，不受地域、行业和投资性质的限制。</w:t>
      </w:r>
    </w:p>
    <w:p>
      <w:pPr>
        <w:wordWrap w:val="0"/>
        <w:spacing w:line="280" w:lineRule="exact"/>
        <w:ind w:firstLine="420" w:firstLineChars="200"/>
        <w:jc w:val="left"/>
        <w:rPr>
          <w:rFonts w:ascii="仿宋" w:hAnsi="仿宋" w:eastAsia="仿宋" w:cs="仿宋"/>
          <w:szCs w:val="21"/>
        </w:rPr>
      </w:pPr>
      <w:r>
        <w:rPr>
          <w:rFonts w:hint="eastAsia" w:ascii="仿宋" w:hAnsi="仿宋" w:eastAsia="仿宋" w:cs="仿宋"/>
          <w:szCs w:val="21"/>
        </w:rPr>
        <w:t>4.</w:t>
      </w:r>
      <w:r>
        <w:rPr>
          <w:rFonts w:hint="eastAsia" w:ascii="仿宋" w:hAnsi="仿宋" w:eastAsia="仿宋" w:cs="仿宋"/>
        </w:rPr>
        <w:t xml:space="preserve"> 所附资料见投标人须知前附表3.5.5项规定</w:t>
      </w:r>
      <w:r>
        <w:rPr>
          <w:rFonts w:hint="eastAsia" w:ascii="仿宋" w:hAnsi="仿宋" w:eastAsia="仿宋" w:cs="仿宋"/>
          <w:szCs w:val="21"/>
        </w:rPr>
        <w:t>。</w:t>
      </w:r>
    </w:p>
    <w:p>
      <w:pPr>
        <w:wordWrap w:val="0"/>
        <w:spacing w:line="280" w:lineRule="exact"/>
        <w:ind w:firstLine="420" w:firstLineChars="200"/>
        <w:jc w:val="left"/>
        <w:rPr>
          <w:rFonts w:ascii="仿宋" w:hAnsi="仿宋" w:eastAsia="仿宋" w:cs="仿宋"/>
          <w:szCs w:val="21"/>
        </w:rPr>
      </w:pPr>
      <w:r>
        <w:rPr>
          <w:rFonts w:hint="eastAsia" w:ascii="仿宋" w:hAnsi="仿宋" w:eastAsia="仿宋" w:cs="仿宋"/>
          <w:szCs w:val="21"/>
        </w:rPr>
        <w:t>5. 投标人在投标文件中应附拟委任项目经理的社保证明材料，由投标人所属社保机构出具的自招标公告发布当月前3个月至今任意1个月的社保证明。</w:t>
      </w:r>
    </w:p>
    <w:p>
      <w:pPr>
        <w:wordWrap w:val="0"/>
        <w:spacing w:line="280" w:lineRule="exact"/>
        <w:jc w:val="left"/>
        <w:rPr>
          <w:rFonts w:ascii="仿宋" w:hAnsi="仿宋" w:eastAsia="仿宋" w:cs="仿宋"/>
          <w:szCs w:val="21"/>
        </w:rPr>
      </w:pPr>
      <w:bookmarkStart w:id="25" w:name="EB83bc5c9038ca4cf0994108a9b82874d4"/>
      <w:r>
        <w:rPr>
          <w:rFonts w:hint="eastAsia" w:ascii="仿宋" w:hAnsi="仿宋" w:eastAsia="仿宋" w:cs="仿宋"/>
          <w:sz w:val="20"/>
          <w:szCs w:val="21"/>
        </w:rPr>
        <w:t xml:space="preserve"> </w:t>
      </w:r>
      <w:bookmarkEnd w:id="25"/>
      <w:r>
        <w:rPr>
          <w:rFonts w:hint="eastAsia" w:ascii="仿宋" w:hAnsi="仿宋" w:eastAsia="仿宋" w:cs="仿宋"/>
          <w:sz w:val="20"/>
          <w:szCs w:val="21"/>
        </w:rPr>
        <w:t xml:space="preserve">   6.一级注册建造师电子注册证书应符合《住房和城乡建设部办公厅关于全面实行一级建造师电子注册证书的通知》（建办市【2021】40 号）有关电子证书关于使用要求的规定。</w:t>
      </w:r>
    </w:p>
    <w:p>
      <w:bookmarkStart w:id="26" w:name="_GoBack"/>
      <w:bookmarkEnd w:id="26"/>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A34951"/>
    <w:multiLevelType w:val="singleLevel"/>
    <w:tmpl w:val="41A349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96"/>
    <w:rsid w:val="001639D7"/>
    <w:rsid w:val="00342789"/>
    <w:rsid w:val="0065029F"/>
    <w:rsid w:val="00656DAE"/>
    <w:rsid w:val="00AA4D3B"/>
    <w:rsid w:val="00B13396"/>
    <w:rsid w:val="00B777D8"/>
    <w:rsid w:val="00E42C56"/>
    <w:rsid w:val="039A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9"/>
    <w:qFormat/>
    <w:uiPriority w:val="0"/>
    <w:pPr>
      <w:keepNext/>
      <w:keepLines/>
      <w:spacing w:line="360" w:lineRule="auto"/>
      <w:outlineLvl w:val="2"/>
    </w:pPr>
    <w:rPr>
      <w:b/>
      <w:bCs/>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semiHidden/>
    <w:unhideWhenUsed/>
    <w:qFormat/>
    <w:uiPriority w:val="99"/>
    <w:pPr>
      <w:spacing w:after="120"/>
    </w:p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w:basedOn w:val="4"/>
    <w:link w:val="17"/>
    <w:unhideWhenUsed/>
    <w:qFormat/>
    <w:uiPriority w:val="0"/>
    <w:pPr>
      <w:ind w:firstLine="420" w:firstLineChars="100"/>
    </w:pPr>
  </w:style>
  <w:style w:type="character" w:styleId="10">
    <w:name w:val="Hyperlink"/>
    <w:qFormat/>
    <w:uiPriority w:val="99"/>
    <w:rPr>
      <w:rFonts w:hint="default" w:ascii="Arial" w:hAnsi="Arial"/>
      <w:color w:val="060147"/>
      <w:sz w:val="18"/>
      <w:u w:val="non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标题 3 Char_0"/>
    <w:link w:val="14"/>
    <w:uiPriority w:val="0"/>
    <w:rPr>
      <w:b/>
      <w:bCs/>
      <w:sz w:val="24"/>
      <w:szCs w:val="32"/>
    </w:rPr>
  </w:style>
  <w:style w:type="paragraph" w:customStyle="1" w:styleId="14">
    <w:name w:val="标题 3_0"/>
    <w:basedOn w:val="15"/>
    <w:next w:val="15"/>
    <w:link w:val="13"/>
    <w:unhideWhenUsed/>
    <w:qFormat/>
    <w:uiPriority w:val="0"/>
    <w:pPr>
      <w:keepNext/>
      <w:keepLines/>
      <w:spacing w:line="415" w:lineRule="auto"/>
      <w:outlineLvl w:val="2"/>
    </w:pPr>
    <w:rPr>
      <w:rFonts w:asciiTheme="minorHAnsi" w:hAnsiTheme="minorHAnsi" w:eastAsiaTheme="minorEastAsia" w:cstheme="minorBidi"/>
      <w:b/>
      <w:bCs/>
      <w:sz w:val="24"/>
      <w:szCs w:val="32"/>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正文文本 字符"/>
    <w:basedOn w:val="9"/>
    <w:link w:val="4"/>
    <w:semiHidden/>
    <w:uiPriority w:val="99"/>
    <w:rPr>
      <w:rFonts w:ascii="Calibri" w:hAnsi="Calibri" w:eastAsia="宋体" w:cs="Times New Roman"/>
    </w:rPr>
  </w:style>
  <w:style w:type="character" w:customStyle="1" w:styleId="17">
    <w:name w:val="正文文本首行缩进 字符"/>
    <w:basedOn w:val="16"/>
    <w:link w:val="7"/>
    <w:qFormat/>
    <w:uiPriority w:val="0"/>
    <w:rPr>
      <w:rFonts w:ascii="Calibri" w:hAnsi="Calibri" w:eastAsia="宋体" w:cs="Times New Roman"/>
    </w:rPr>
  </w:style>
  <w:style w:type="character" w:customStyle="1" w:styleId="18">
    <w:name w:val="标题 3 字符"/>
    <w:basedOn w:val="9"/>
    <w:semiHidden/>
    <w:qFormat/>
    <w:uiPriority w:val="9"/>
    <w:rPr>
      <w:rFonts w:ascii="Calibri" w:hAnsi="Calibri" w:eastAsia="宋体" w:cs="Times New Roman"/>
      <w:b/>
      <w:bCs/>
      <w:sz w:val="32"/>
      <w:szCs w:val="32"/>
    </w:rPr>
  </w:style>
  <w:style w:type="character" w:customStyle="1" w:styleId="19">
    <w:name w:val="标题 3 字符2"/>
    <w:link w:val="3"/>
    <w:uiPriority w:val="0"/>
    <w:rPr>
      <w:rFonts w:ascii="Calibri" w:hAnsi="Calibri" w:eastAsia="宋体" w:cs="Times New Roman"/>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421</Words>
  <Characters>2404</Characters>
  <Lines>20</Lines>
  <Paragraphs>5</Paragraphs>
  <TotalTime>0</TotalTime>
  <ScaleCrop>false</ScaleCrop>
  <LinksUpToDate>false</LinksUpToDate>
  <CharactersWithSpaces>2820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2020-05-09T05:20:00Z</dcterms:created>
  <dc:creator>尚栋 杨</dc:creator>
  <cp:lastModifiedBy>阿蛟</cp:lastModifiedBy>
  <dcterms:modified xsi:type="dcterms:W3CDTF">2022-07-29T07:58:13Z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4787496C3D024DE5ABAA745FE7FEB7FA</vt:lpwstr>
  </property>
</Properties>
</file>