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宋体"/>
          <w:b/>
          <w:color w:val="000000" w:themeColor="text1"/>
          <w:szCs w:val="20"/>
          <w14:textFill>
            <w14:solidFill>
              <w14:schemeClr w14:val="tx1"/>
            </w14:solidFill>
          </w14:textFill>
        </w:rPr>
      </w:pPr>
      <w:bookmarkStart w:id="24" w:name="_GoBack"/>
      <w:bookmarkEnd w:id="24"/>
      <w:r>
        <w:rPr>
          <w:rFonts w:hint="eastAsia" w:ascii="宋体" w:hAnsi="宋体" w:cs="宋体"/>
          <w:b/>
          <w:color w:val="000000" w:themeColor="text1"/>
          <w:szCs w:val="20"/>
          <w14:textFill>
            <w14:solidFill>
              <w14:schemeClr w14:val="tx1"/>
            </w14:solidFill>
          </w14:textFill>
        </w:rPr>
        <w:t>附录</w:t>
      </w:r>
    </w:p>
    <w:p>
      <w:pPr>
        <w:spacing w:line="400" w:lineRule="exact"/>
        <w:jc w:val="center"/>
        <w:outlineLvl w:val="1"/>
        <w:rPr>
          <w:rFonts w:ascii="宋体" w:hAnsi="宋体" w:cs="宋体"/>
          <w:b/>
          <w:color w:val="000000" w:themeColor="text1"/>
          <w:sz w:val="28"/>
          <w:szCs w:val="20"/>
          <w14:textFill>
            <w14:solidFill>
              <w14:schemeClr w14:val="tx1"/>
            </w14:solidFill>
          </w14:textFill>
        </w:rPr>
      </w:pPr>
      <w:bookmarkStart w:id="0" w:name="_Toc360896874"/>
      <w:bookmarkStart w:id="1" w:name="_Toc239671836"/>
      <w:bookmarkStart w:id="2" w:name="_Toc28891"/>
      <w:bookmarkStart w:id="3" w:name="_Toc8784"/>
      <w:bookmarkStart w:id="4" w:name="_Toc24936"/>
      <w:bookmarkStart w:id="5" w:name="_Toc14693"/>
      <w:bookmarkStart w:id="6" w:name="_Toc284866235"/>
      <w:bookmarkStart w:id="7" w:name="_Toc9235"/>
      <w:bookmarkStart w:id="8" w:name="_Toc21279"/>
    </w:p>
    <w:p>
      <w:pPr>
        <w:spacing w:line="400" w:lineRule="exact"/>
        <w:jc w:val="center"/>
        <w:outlineLvl w:val="1"/>
        <w:rPr>
          <w:rFonts w:ascii="宋体" w:hAnsi="宋体" w:cs="宋体"/>
          <w:b/>
          <w:color w:val="000000" w:themeColor="text1"/>
          <w:sz w:val="28"/>
          <w:szCs w:val="20"/>
          <w14:textFill>
            <w14:solidFill>
              <w14:schemeClr w14:val="tx1"/>
            </w14:solidFill>
          </w14:textFill>
        </w:rPr>
      </w:pPr>
      <w:r>
        <w:rPr>
          <w:rFonts w:hint="eastAsia" w:ascii="宋体" w:hAnsi="宋体" w:cs="宋体"/>
          <w:b/>
          <w:color w:val="000000" w:themeColor="text1"/>
          <w:sz w:val="28"/>
          <w:szCs w:val="20"/>
          <w14:textFill>
            <w14:solidFill>
              <w14:schemeClr w14:val="tx1"/>
            </w14:solidFill>
          </w14:textFill>
        </w:rPr>
        <w:t>附录1  资格审查条件（资质最低条件）</w:t>
      </w:r>
      <w:bookmarkEnd w:id="0"/>
      <w:bookmarkEnd w:id="1"/>
      <w:bookmarkEnd w:id="2"/>
      <w:bookmarkEnd w:id="3"/>
      <w:bookmarkEnd w:id="4"/>
      <w:bookmarkEnd w:id="5"/>
      <w:bookmarkEnd w:id="6"/>
      <w:bookmarkEnd w:id="7"/>
      <w:bookmarkEnd w:id="8"/>
    </w:p>
    <w:p>
      <w:pPr>
        <w:spacing w:line="400" w:lineRule="exact"/>
        <w:jc w:val="center"/>
        <w:rPr>
          <w:rFonts w:ascii="宋体" w:hAnsi="宋体" w:cs="宋体"/>
          <w:color w:val="000000" w:themeColor="text1"/>
          <w:szCs w:val="20"/>
          <w14:textFill>
            <w14:solidFill>
              <w14:schemeClr w14:val="tx1"/>
            </w14:solidFill>
          </w14:textFill>
        </w:rPr>
      </w:pPr>
    </w:p>
    <w:tbl>
      <w:tblPr>
        <w:tblStyle w:val="2"/>
        <w:tblW w:w="93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53"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标段</w:t>
            </w:r>
          </w:p>
        </w:tc>
        <w:tc>
          <w:tcPr>
            <w:tcW w:w="7647"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3" w:type="dxa"/>
            <w:vAlign w:val="center"/>
          </w:tcPr>
          <w:p>
            <w:pPr>
              <w:spacing w:line="400" w:lineRule="exact"/>
              <w:jc w:val="center"/>
              <w:rPr>
                <w:rFonts w:ascii="宋体" w:hAnsi="宋体" w:cs="宋体"/>
                <w:szCs w:val="21"/>
              </w:rPr>
            </w:pPr>
            <w:r>
              <w:rPr>
                <w:rFonts w:hint="eastAsia" w:ascii="宋体" w:hAnsi="宋体" w:cs="宋体"/>
                <w:szCs w:val="21"/>
              </w:rPr>
              <w:t>/</w:t>
            </w:r>
          </w:p>
        </w:tc>
        <w:tc>
          <w:tcPr>
            <w:tcW w:w="7647" w:type="dxa"/>
            <w:vAlign w:val="center"/>
          </w:tcPr>
          <w:p>
            <w:pPr>
              <w:pStyle w:val="4"/>
              <w:snapToGrid w:val="0"/>
              <w:spacing w:before="0" w:after="0" w:line="440" w:lineRule="exact"/>
              <w:ind w:firstLine="0" w:firstLineChars="0"/>
              <w:jc w:val="left"/>
              <w:rPr>
                <w:rFonts w:ascii="宋体" w:hAnsi="宋体" w:cs="宋体"/>
                <w:szCs w:val="21"/>
              </w:rPr>
            </w:pPr>
            <w:r>
              <w:rPr>
                <w:rFonts w:hint="eastAsia" w:ascii="宋体" w:hAnsi="宋体" w:cs="宋体"/>
                <w:sz w:val="21"/>
                <w:szCs w:val="21"/>
              </w:rPr>
              <w:t>本次招标要求投标人须具备独立法人资格、在中华人民共和国注册，须具有中华人民共和国住房和城乡建设部颁发的工程设计综合甲级资质或水运行业工程设计乙级及以上资质，并符合资格审查条件要求的单位均可参加投标。</w:t>
            </w:r>
          </w:p>
        </w:tc>
      </w:tr>
    </w:tbl>
    <w:p>
      <w:pPr>
        <w:rPr>
          <w:rFonts w:ascii="宋体" w:hAnsi="宋体" w:cs="宋体"/>
        </w:rPr>
      </w:pPr>
      <w:bookmarkStart w:id="9" w:name="_Toc11279"/>
      <w:bookmarkStart w:id="10" w:name="_Toc239671838"/>
      <w:bookmarkStart w:id="11" w:name="_Toc284866237"/>
      <w:bookmarkStart w:id="12" w:name="_Toc4022"/>
      <w:bookmarkStart w:id="13" w:name="_Toc7557"/>
      <w:bookmarkStart w:id="14" w:name="_Toc12258"/>
      <w:bookmarkStart w:id="15" w:name="_Toc360896875"/>
      <w:bookmarkStart w:id="16" w:name="_Toc11222"/>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400" w:lineRule="exact"/>
        <w:jc w:val="center"/>
        <w:outlineLvl w:val="1"/>
        <w:rPr>
          <w:rFonts w:ascii="宋体" w:hAnsi="宋体" w:cs="宋体"/>
          <w:b/>
          <w:color w:val="000000" w:themeColor="text1"/>
          <w:sz w:val="28"/>
          <w:szCs w:val="20"/>
          <w14:textFill>
            <w14:solidFill>
              <w14:schemeClr w14:val="tx1"/>
            </w14:solidFill>
          </w14:textFill>
        </w:rPr>
      </w:pPr>
      <w:bookmarkStart w:id="17" w:name="_Toc24425"/>
      <w:r>
        <w:rPr>
          <w:rFonts w:hint="eastAsia" w:ascii="宋体" w:hAnsi="宋体" w:cs="宋体"/>
          <w:b/>
          <w:color w:val="000000" w:themeColor="text1"/>
          <w:sz w:val="28"/>
          <w:szCs w:val="20"/>
          <w14:textFill>
            <w14:solidFill>
              <w14:schemeClr w14:val="tx1"/>
            </w14:solidFill>
          </w14:textFill>
        </w:rPr>
        <w:t>附录2  资格审查条件（财务最低条件）</w:t>
      </w:r>
      <w:bookmarkEnd w:id="17"/>
    </w:p>
    <w:tbl>
      <w:tblPr>
        <w:tblStyle w:val="2"/>
        <w:tblW w:w="9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085" w:type="dxa"/>
            <w:tcBorders>
              <w:top w:val="single" w:color="auto" w:sz="12" w:space="0"/>
              <w:left w:val="single" w:color="auto" w:sz="12" w:space="0"/>
              <w:bottom w:val="single" w:color="auto" w:sz="6" w:space="0"/>
              <w:right w:val="single" w:color="auto" w:sz="12" w:space="0"/>
            </w:tcBorders>
            <w:vAlign w:val="center"/>
          </w:tcPr>
          <w:p>
            <w:pPr>
              <w:ind w:right="139" w:rightChars="66"/>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16" w:hRule="atLeast"/>
          <w:jc w:val="center"/>
        </w:trPr>
        <w:tc>
          <w:tcPr>
            <w:tcW w:w="9085" w:type="dxa"/>
            <w:tcBorders>
              <w:top w:val="single" w:color="auto" w:sz="6" w:space="0"/>
              <w:left w:val="single" w:color="auto" w:sz="12" w:space="0"/>
              <w:bottom w:val="single" w:color="auto" w:sz="12" w:space="0"/>
              <w:right w:val="single" w:color="auto" w:sz="12" w:space="0"/>
            </w:tcBorders>
            <w:vAlign w:val="center"/>
          </w:tcPr>
          <w:p>
            <w:pPr>
              <w:spacing w:line="400" w:lineRule="exact"/>
              <w:ind w:firstLine="315" w:firstLineChars="1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承诺运营资金不少于</w:t>
            </w:r>
            <w:r>
              <w:rPr>
                <w:rFonts w:hint="eastAsia" w:ascii="宋体" w:hAnsi="宋体" w:cs="宋体"/>
                <w:color w:val="000000" w:themeColor="text1"/>
                <w:szCs w:val="21"/>
                <w:u w:val="single"/>
                <w14:textFill>
                  <w14:solidFill>
                    <w14:schemeClr w14:val="tx1"/>
                  </w14:solidFill>
                </w14:textFill>
              </w:rPr>
              <w:t>2000</w:t>
            </w:r>
            <w:r>
              <w:rPr>
                <w:rFonts w:hint="eastAsia" w:ascii="宋体" w:hAnsi="宋体" w:cs="宋体"/>
                <w:color w:val="000000" w:themeColor="text1"/>
                <w:szCs w:val="21"/>
                <w14:textFill>
                  <w14:solidFill>
                    <w14:schemeClr w14:val="tx1"/>
                  </w14:solidFill>
                </w14:textFill>
              </w:rPr>
              <w:t>万元人民币（由投标人自行决定采用银行信贷证明或财务能力承诺书）。</w:t>
            </w:r>
          </w:p>
          <w:p>
            <w:pPr>
              <w:spacing w:line="400" w:lineRule="exact"/>
              <w:ind w:firstLine="315" w:firstLineChars="15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若采用银行信贷证明，开具银行信贷证明的银行级别：</w:t>
            </w:r>
            <w:r>
              <w:rPr>
                <w:rFonts w:hint="eastAsia" w:ascii="宋体" w:hAnsi="宋体" w:cs="宋体"/>
                <w:color w:val="000000" w:themeColor="text1"/>
                <w:szCs w:val="21"/>
                <w:u w:val="single"/>
                <w14:textFill>
                  <w14:solidFill>
                    <w14:schemeClr w14:val="tx1"/>
                  </w14:solidFill>
                </w14:textFill>
              </w:rPr>
              <w:t>国有或股份制商业银行县（区、市）级及以上银行</w:t>
            </w:r>
            <w:r>
              <w:rPr>
                <w:rFonts w:hint="eastAsia" w:ascii="宋体" w:hAnsi="宋体" w:cs="宋体"/>
                <w:color w:val="000000" w:themeColor="text1"/>
                <w:szCs w:val="21"/>
                <w14:textFill>
                  <w14:solidFill>
                    <w14:schemeClr w14:val="tx1"/>
                  </w14:solidFill>
                </w14:textFill>
              </w:rPr>
              <w:t>。</w:t>
            </w:r>
          </w:p>
        </w:tc>
      </w:tr>
    </w:tbl>
    <w:p>
      <w:pPr>
        <w:spacing w:line="400" w:lineRule="exact"/>
        <w:jc w:val="center"/>
        <w:rPr>
          <w:rFonts w:ascii="宋体" w:hAnsi="宋体" w:cs="宋体"/>
          <w:color w:val="000000" w:themeColor="text1"/>
          <w:szCs w:val="20"/>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400" w:lineRule="exact"/>
        <w:jc w:val="center"/>
        <w:outlineLvl w:val="1"/>
        <w:rPr>
          <w:rFonts w:ascii="宋体" w:hAnsi="宋体" w:cs="宋体"/>
          <w:b/>
          <w:color w:val="000000" w:themeColor="text1"/>
          <w:sz w:val="28"/>
          <w:szCs w:val="20"/>
          <w14:textFill>
            <w14:solidFill>
              <w14:schemeClr w14:val="tx1"/>
            </w14:solidFill>
          </w14:textFill>
        </w:rPr>
      </w:pPr>
      <w:bookmarkStart w:id="18" w:name="_Toc16459"/>
      <w:r>
        <w:rPr>
          <w:rFonts w:hint="eastAsia" w:ascii="宋体" w:hAnsi="宋体" w:cs="宋体"/>
          <w:b/>
          <w:color w:val="000000" w:themeColor="text1"/>
          <w:sz w:val="28"/>
          <w:szCs w:val="20"/>
          <w14:textFill>
            <w14:solidFill>
              <w14:schemeClr w14:val="tx1"/>
            </w14:solidFill>
          </w14:textFill>
        </w:rPr>
        <w:t>附录3  资格审查条件（业绩最低要求）</w:t>
      </w:r>
      <w:bookmarkEnd w:id="9"/>
      <w:bookmarkEnd w:id="10"/>
      <w:bookmarkEnd w:id="11"/>
      <w:bookmarkEnd w:id="12"/>
      <w:bookmarkEnd w:id="13"/>
      <w:bookmarkEnd w:id="14"/>
      <w:bookmarkEnd w:id="15"/>
      <w:bookmarkEnd w:id="16"/>
      <w:bookmarkEnd w:id="18"/>
    </w:p>
    <w:p>
      <w:pPr>
        <w:spacing w:line="400" w:lineRule="exact"/>
        <w:jc w:val="center"/>
        <w:rPr>
          <w:rFonts w:ascii="宋体" w:hAnsi="宋体" w:cs="宋体"/>
          <w:color w:val="000000" w:themeColor="text1"/>
          <w:sz w:val="28"/>
          <w:szCs w:val="20"/>
          <w14:textFill>
            <w14:solidFill>
              <w14:schemeClr w14:val="tx1"/>
            </w14:solidFill>
          </w14:textFill>
        </w:rPr>
      </w:pPr>
    </w:p>
    <w:tbl>
      <w:tblPr>
        <w:tblStyle w:val="2"/>
        <w:tblW w:w="92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9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6" w:type="dxa"/>
            <w:vAlign w:val="center"/>
          </w:tcPr>
          <w:p>
            <w:pPr>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标段</w:t>
            </w:r>
          </w:p>
        </w:tc>
        <w:tc>
          <w:tcPr>
            <w:tcW w:w="7975" w:type="dxa"/>
            <w:vAlign w:val="center"/>
          </w:tcPr>
          <w:p>
            <w:pPr>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236" w:type="dxa"/>
            <w:vAlign w:val="center"/>
          </w:tcPr>
          <w:p>
            <w:pPr>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w:t>
            </w:r>
          </w:p>
        </w:tc>
        <w:tc>
          <w:tcPr>
            <w:tcW w:w="7975" w:type="dxa"/>
            <w:vAlign w:val="center"/>
          </w:tcPr>
          <w:p>
            <w:pPr>
              <w:pStyle w:val="4"/>
              <w:snapToGrid w:val="0"/>
              <w:spacing w:before="0" w:after="0" w:line="440" w:lineRule="exact"/>
              <w:ind w:firstLine="0" w:firstLineChars="0"/>
              <w:jc w:val="left"/>
              <w:rPr>
                <w:rFonts w:ascii="宋体" w:hAnsi="宋体" w:cs="宋体"/>
                <w:sz w:val="21"/>
                <w:szCs w:val="24"/>
              </w:rPr>
            </w:pPr>
            <w:r>
              <w:rPr>
                <w:rFonts w:hint="eastAsia" w:ascii="宋体" w:hAnsi="宋体" w:cs="宋体"/>
                <w:sz w:val="21"/>
                <w:szCs w:val="24"/>
              </w:rPr>
              <w:t>1、投标人自2016年1月1日以来（以质量证明文件日期为准），按一个合同段完成过1个国内沿海水运工程新建码头的设计施工总承包或设计采购施工（EPC）总承包项目。</w:t>
            </w:r>
          </w:p>
          <w:p>
            <w:pPr>
              <w:pStyle w:val="4"/>
              <w:snapToGrid w:val="0"/>
              <w:spacing w:before="0" w:after="0" w:line="440" w:lineRule="exact"/>
              <w:ind w:firstLine="0" w:firstLineChars="0"/>
              <w:jc w:val="left"/>
              <w:rPr>
                <w:rFonts w:ascii="宋体" w:hAnsi="宋体" w:cs="宋体"/>
                <w:color w:val="000000" w:themeColor="text1"/>
                <w:sz w:val="21"/>
                <w:szCs w:val="24"/>
                <w14:textFill>
                  <w14:solidFill>
                    <w14:schemeClr w14:val="tx1"/>
                  </w14:solidFill>
                </w14:textFill>
              </w:rPr>
            </w:pPr>
            <w:r>
              <w:rPr>
                <w:rFonts w:hint="eastAsia" w:ascii="宋体" w:hAnsi="宋体" w:cs="宋体"/>
                <w:sz w:val="21"/>
                <w:szCs w:val="24"/>
              </w:rPr>
              <w:t>2、投标人自2016年1月1日以来（以施工图设计批复时间或施工图设计审查意见时间为准），完成过1个国内沿海新建2000吨级以上</w:t>
            </w:r>
            <w:r>
              <w:rPr>
                <w:rFonts w:ascii="宋体" w:hAnsi="宋体" w:cs="宋体"/>
                <w:sz w:val="21"/>
                <w:szCs w:val="21"/>
              </w:rPr>
              <w:t>油气</w:t>
            </w:r>
            <w:r>
              <w:rPr>
                <w:rFonts w:hint="eastAsia" w:ascii="宋体" w:hAnsi="宋体" w:cs="宋体"/>
                <w:sz w:val="21"/>
                <w:szCs w:val="21"/>
              </w:rPr>
              <w:t>化工</w:t>
            </w:r>
            <w:r>
              <w:rPr>
                <w:rFonts w:ascii="宋体" w:hAnsi="宋体" w:cs="宋体"/>
                <w:sz w:val="21"/>
                <w:szCs w:val="21"/>
              </w:rPr>
              <w:t>类</w:t>
            </w:r>
            <w:r>
              <w:rPr>
                <w:rFonts w:hint="eastAsia" w:ascii="宋体" w:hAnsi="宋体" w:cs="宋体"/>
                <w:sz w:val="21"/>
                <w:szCs w:val="24"/>
              </w:rPr>
              <w:t>水运工程码头的设计项目业绩。</w:t>
            </w:r>
          </w:p>
        </w:tc>
      </w:tr>
    </w:tbl>
    <w:p>
      <w:pPr>
        <w:pStyle w:val="4"/>
        <w:snapToGrid w:val="0"/>
        <w:spacing w:before="0" w:after="0" w:line="440" w:lineRule="exact"/>
        <w:ind w:firstLine="0" w:firstLineChars="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说明：</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1、本表所要求的业绩标准，投标人必须在第七章资格审查资料“（三）近年完成的类似项目情况表后附：</w:t>
      </w:r>
    </w:p>
    <w:p>
      <w:pPr>
        <w:pStyle w:val="4"/>
        <w:snapToGrid w:val="0"/>
        <w:spacing w:before="0" w:after="0" w:line="440" w:lineRule="exact"/>
        <w:ind w:firstLine="420" w:firstLineChars="200"/>
        <w:jc w:val="left"/>
        <w:rPr>
          <w:rFonts w:ascii="宋体" w:hAnsi="宋体" w:cs="宋体"/>
          <w:sz w:val="21"/>
          <w:szCs w:val="24"/>
        </w:rPr>
      </w:pPr>
      <w:r>
        <w:rPr>
          <w:rFonts w:hint="eastAsia" w:ascii="宋体" w:hAnsi="宋体" w:cs="宋体"/>
          <w:sz w:val="21"/>
          <w:szCs w:val="24"/>
        </w:rPr>
        <w:t>总承包业绩证明材料：①中标通知书或合同协议书复印件；②质量证明文件（水运工程（标段）交工验收证书或竣工验收委员会出具的水运工程竣工验收鉴定书（或竣工验收现场核查报告）或交通（水运）质量监督机构对各参建单位签发的工作综合评价等级证书或交通（水运）行业管理部门出具的水运工程竣工验收证书）的复印件。二者缺一不可，否则业绩不予认可。如果投标人提供的上述证明材料均无法体现出“投标人须知”附件要求的建设规模或技术指标，则投标人还需提供发包人或交通（水运）质量监督部门或项目所在地设区市交通（水运）行业主管部门出具的证明材料，否则业绩不予认可（项目完成情况：指项目已交（竣）工验收）。工程规模的解释顺序为：质量证明文件、合同协议书、中标通知书（如有）。</w:t>
      </w:r>
    </w:p>
    <w:p>
      <w:pPr>
        <w:pStyle w:val="4"/>
        <w:snapToGrid w:val="0"/>
        <w:spacing w:before="0" w:after="0" w:line="440" w:lineRule="exact"/>
        <w:ind w:firstLine="420" w:firstLineChars="200"/>
        <w:jc w:val="left"/>
        <w:rPr>
          <w:rFonts w:ascii="宋体" w:hAnsi="宋体" w:cs="宋体"/>
          <w:color w:val="FF0000"/>
          <w:sz w:val="21"/>
          <w:szCs w:val="24"/>
        </w:rPr>
      </w:pPr>
      <w:r>
        <w:rPr>
          <w:rFonts w:hint="eastAsia" w:ascii="宋体" w:hAnsi="宋体" w:cs="宋体"/>
          <w:sz w:val="21"/>
          <w:szCs w:val="24"/>
        </w:rPr>
        <w:t>设计业绩证明材料：①</w:t>
      </w:r>
      <w:r>
        <w:rPr>
          <w:rFonts w:hint="eastAsia"/>
          <w:sz w:val="21"/>
          <w:szCs w:val="21"/>
        </w:rPr>
        <w:t>中标通知书或</w:t>
      </w:r>
      <w:r>
        <w:rPr>
          <w:rFonts w:hint="eastAsia" w:ascii="宋体" w:hAnsi="宋体" w:cs="宋体"/>
          <w:sz w:val="21"/>
          <w:szCs w:val="24"/>
        </w:rPr>
        <w:t>合同协议书复印件；②交通（水运）行业管理部门出具的施工图设计批复（或施工图设计审查意见）复印件。二者缺一不可，否则业绩不予认定。若上述资料未体现项目建设规模的，还须再附发包人或行业主管部门出具的证明材料，否则业绩不予认可。 工程规模的解释顺序为：施工图设计批复（或施工图设计审查意见）、合同协议书、中标通知书（如有）。</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2、</w:t>
      </w:r>
      <w:bookmarkStart w:id="19" w:name="_Toc360896876"/>
      <w:r>
        <w:rPr>
          <w:rFonts w:hint="eastAsia" w:ascii="宋体" w:hAnsi="宋体" w:cs="宋体"/>
          <w:color w:val="000000" w:themeColor="text1"/>
          <w:sz w:val="21"/>
          <w:szCs w:val="24"/>
          <w14:textFill>
            <w14:solidFill>
              <w14:schemeClr w14:val="tx1"/>
            </w14:solidFill>
          </w14:textFill>
        </w:rPr>
        <w:t>设计施工总承包或设计采购施工（EPC）项目业绩不接受联合体业绩。</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3、合同协议书或中标通知书、质量证明文件等的单位名称与投标人名称必须一致，单位名称发生合法变更的除外，但需提供合法变更的有效文件，否则不予认可。</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4、如查实投标人提供虚假业绩证明材料以满足强制性业绩要求的，取消中标资格，并建议主管部门予以通报。</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400" w:lineRule="exact"/>
        <w:jc w:val="center"/>
        <w:outlineLvl w:val="1"/>
        <w:rPr>
          <w:rFonts w:ascii="宋体" w:hAnsi="宋体" w:cs="宋体"/>
          <w:b/>
          <w:color w:val="000000" w:themeColor="text1"/>
          <w:sz w:val="28"/>
          <w:szCs w:val="20"/>
          <w14:textFill>
            <w14:solidFill>
              <w14:schemeClr w14:val="tx1"/>
            </w14:solidFill>
          </w14:textFill>
        </w:rPr>
      </w:pPr>
      <w:bookmarkStart w:id="20" w:name="_Toc27766"/>
      <w:r>
        <w:rPr>
          <w:rFonts w:ascii="宋体" w:hAnsi="宋体" w:cs="宋体"/>
          <w:b/>
          <w:color w:val="000000" w:themeColor="text1"/>
          <w:sz w:val="28"/>
          <w:szCs w:val="20"/>
          <w14:textFill>
            <w14:solidFill>
              <w14:schemeClr w14:val="tx1"/>
            </w14:solidFill>
          </w14:textFill>
        </w:rPr>
        <w:br w:type="page"/>
      </w:r>
      <w:r>
        <w:rPr>
          <w:rFonts w:hint="eastAsia" w:ascii="宋体" w:hAnsi="宋体" w:cs="宋体"/>
          <w:b/>
          <w:color w:val="000000" w:themeColor="text1"/>
          <w:sz w:val="28"/>
          <w:szCs w:val="20"/>
          <w14:textFill>
            <w14:solidFill>
              <w14:schemeClr w14:val="tx1"/>
            </w14:solidFill>
          </w14:textFill>
        </w:rPr>
        <w:t>附录4  资格审查条件(信誉最低要求)</w:t>
      </w:r>
      <w:bookmarkEnd w:id="20"/>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9239"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numPr>
                <w:ilvl w:val="0"/>
                <w:numId w:val="1"/>
              </w:numPr>
              <w:tabs>
                <w:tab w:val="left" w:pos="630"/>
              </w:tabs>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无投标人须知第1.4.3项的情形；</w:t>
            </w:r>
          </w:p>
          <w:p>
            <w:pPr>
              <w:tabs>
                <w:tab w:val="left" w:pos="630"/>
              </w:tabs>
              <w:spacing w:line="44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2、自2018年1月1日以来，投标人无行贿犯罪记录；</w:t>
            </w:r>
          </w:p>
          <w:p>
            <w:pPr>
              <w:tabs>
                <w:tab w:val="left" w:pos="630"/>
              </w:tabs>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在“信用中国”网站（www.creditchina.gov.cn）未被列入失信被执行人名单；</w:t>
            </w:r>
          </w:p>
        </w:tc>
      </w:tr>
    </w:tbl>
    <w:p>
      <w:pPr>
        <w:rPr>
          <w:rFonts w:ascii="宋体" w:hAnsi="宋体" w:cs="宋体"/>
          <w:color w:val="000000" w:themeColor="text1"/>
          <w14:textFill>
            <w14:solidFill>
              <w14:schemeClr w14:val="tx1"/>
            </w14:solidFill>
          </w14:textFill>
        </w:rPr>
      </w:pPr>
      <w:bookmarkStart w:id="21" w:name="_Toc25231"/>
      <w:bookmarkStart w:id="22" w:name="_Toc15930"/>
      <w:r>
        <w:rPr>
          <w:rFonts w:hint="eastAsia" w:ascii="宋体" w:hAnsi="宋体" w:cs="宋体"/>
          <w:color w:val="000000" w:themeColor="text1"/>
          <w14:textFill>
            <w14:solidFill>
              <w14:schemeClr w14:val="tx1"/>
            </w14:solidFill>
          </w14:textFill>
        </w:rPr>
        <w:t>注：投标人有行贿犯罪行为的认定以中国裁判文书网（</w:t>
      </w:r>
      <w:r>
        <w:fldChar w:fldCharType="begin"/>
      </w:r>
      <w:r>
        <w:instrText xml:space="preserve"> HYPERLINK "http://wenshu.court.gov.cn/" </w:instrText>
      </w:r>
      <w:r>
        <w:fldChar w:fldCharType="separate"/>
      </w:r>
      <w:r>
        <w:rPr>
          <w:rFonts w:hint="eastAsia" w:ascii="宋体" w:hAnsi="宋体" w:cs="宋体"/>
          <w:color w:val="000000" w:themeColor="text1"/>
          <w14:textFill>
            <w14:solidFill>
              <w14:schemeClr w14:val="tx1"/>
            </w14:solidFill>
          </w14:textFill>
        </w:rPr>
        <w:t>http://wenshu.court.gov.cn</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）的查询结果为准，时间以法院判决书判决的日期为准。</w:t>
      </w:r>
      <w:bookmarkEnd w:id="21"/>
      <w:bookmarkEnd w:id="22"/>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spacing w:line="400" w:lineRule="exact"/>
        <w:jc w:val="center"/>
        <w:outlineLvl w:val="1"/>
        <w:rPr>
          <w:rFonts w:ascii="宋体" w:hAnsi="宋体" w:cs="宋体"/>
          <w:b/>
          <w:color w:val="000000" w:themeColor="text1"/>
          <w:sz w:val="28"/>
          <w:szCs w:val="20"/>
          <w14:textFill>
            <w14:solidFill>
              <w14:schemeClr w14:val="tx1"/>
            </w14:solidFill>
          </w14:textFill>
        </w:rPr>
      </w:pPr>
      <w:bookmarkStart w:id="23" w:name="_Toc13990"/>
      <w:r>
        <w:rPr>
          <w:rFonts w:hint="eastAsia" w:ascii="宋体" w:hAnsi="宋体" w:cs="宋体"/>
          <w:b/>
          <w:color w:val="000000" w:themeColor="text1"/>
          <w:sz w:val="28"/>
          <w:szCs w:val="20"/>
          <w14:textFill>
            <w14:solidFill>
              <w14:schemeClr w14:val="tx1"/>
            </w14:solidFill>
          </w14:textFill>
        </w:rPr>
        <w:t>附录5  资格审查条件（主要人员最低要求）</w:t>
      </w:r>
      <w:bookmarkEnd w:id="19"/>
      <w:bookmarkEnd w:id="23"/>
    </w:p>
    <w:p>
      <w:pPr>
        <w:spacing w:line="420" w:lineRule="exact"/>
        <w:jc w:val="center"/>
        <w:rPr>
          <w:rFonts w:ascii="宋体" w:hAnsi="宋体" w:cs="宋体"/>
          <w:b/>
          <w:color w:val="000000" w:themeColor="text1"/>
          <w:sz w:val="32"/>
          <w:szCs w:val="20"/>
          <w14:textFill>
            <w14:solidFill>
              <w14:schemeClr w14:val="tx1"/>
            </w14:solidFill>
          </w14:textFill>
        </w:rPr>
      </w:pPr>
    </w:p>
    <w:tbl>
      <w:tblPr>
        <w:tblStyle w:val="2"/>
        <w:tblW w:w="9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45"/>
        <w:gridCol w:w="7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50"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人员</w:t>
            </w:r>
          </w:p>
        </w:tc>
        <w:tc>
          <w:tcPr>
            <w:tcW w:w="745"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数量</w:t>
            </w:r>
          </w:p>
        </w:tc>
        <w:tc>
          <w:tcPr>
            <w:tcW w:w="7189"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87" w:hRule="atLeast"/>
          <w:jc w:val="center"/>
        </w:trPr>
        <w:tc>
          <w:tcPr>
            <w:tcW w:w="1350"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项目经理</w:t>
            </w:r>
          </w:p>
        </w:tc>
        <w:tc>
          <w:tcPr>
            <w:tcW w:w="745"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1</w:t>
            </w:r>
          </w:p>
        </w:tc>
        <w:tc>
          <w:tcPr>
            <w:tcW w:w="7189" w:type="dxa"/>
            <w:vAlign w:val="center"/>
          </w:tcPr>
          <w:p>
            <w:pPr>
              <w:pStyle w:val="4"/>
              <w:snapToGrid w:val="0"/>
              <w:spacing w:before="0" w:after="0" w:line="360" w:lineRule="exact"/>
              <w:ind w:firstLine="0" w:firstLineChars="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1、项目经理资格须同时满足以下①②项资格要求：</w:t>
            </w:r>
          </w:p>
          <w:p>
            <w:pPr>
              <w:pStyle w:val="4"/>
              <w:snapToGrid w:val="0"/>
              <w:spacing w:before="0" w:after="0" w:line="360" w:lineRule="exact"/>
              <w:ind w:firstLine="0" w:firstLineChars="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①具有港口与航道工程一级注册建造师执业资格，并有交通部门颁发的有效的施工企业项目经理安全生产考核合格证书（B类）。 </w:t>
            </w:r>
          </w:p>
          <w:p>
            <w:pPr>
              <w:pStyle w:val="4"/>
              <w:snapToGrid w:val="0"/>
              <w:spacing w:before="0" w:after="0" w:line="360" w:lineRule="exact"/>
              <w:ind w:firstLine="0" w:firstLineChars="0"/>
              <w:jc w:val="left"/>
              <w:rPr>
                <w:rFonts w:ascii="宋体" w:hAnsi="宋体" w:cs="宋体"/>
                <w:sz w:val="21"/>
                <w:szCs w:val="21"/>
              </w:rPr>
            </w:pPr>
            <w:r>
              <w:rPr>
                <w:rFonts w:hint="eastAsia" w:ascii="宋体" w:hAnsi="宋体" w:cs="宋体"/>
                <w:sz w:val="21"/>
                <w:szCs w:val="21"/>
              </w:rPr>
              <w:t>②未在（或未曾在）其他在建项目上担任项目经理（或施工项目负责人）。</w:t>
            </w:r>
          </w:p>
          <w:p>
            <w:pPr>
              <w:pStyle w:val="4"/>
              <w:snapToGrid w:val="0"/>
              <w:spacing w:before="0" w:after="0" w:line="360" w:lineRule="exact"/>
              <w:ind w:firstLine="0" w:firstLineChars="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2、自2018年1月1日以来（以法院判决书出具的时间为准），拟委任项目经理无行贿犯罪行为。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350"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设计负责人</w:t>
            </w:r>
          </w:p>
        </w:tc>
        <w:tc>
          <w:tcPr>
            <w:tcW w:w="745"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1</w:t>
            </w:r>
          </w:p>
        </w:tc>
        <w:tc>
          <w:tcPr>
            <w:tcW w:w="7189" w:type="dxa"/>
            <w:vAlign w:val="center"/>
          </w:tcPr>
          <w:p>
            <w:pPr>
              <w:pStyle w:val="4"/>
              <w:snapToGrid w:val="0"/>
              <w:spacing w:before="0" w:after="0" w:line="360" w:lineRule="exact"/>
              <w:ind w:firstLine="0" w:firstLineChars="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具有注册土木工程师（港口与航道工程）执业资格，年龄60周岁及以下。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1350" w:type="dxa"/>
            <w:vAlign w:val="center"/>
          </w:tcPr>
          <w:p>
            <w:pPr>
              <w:spacing w:line="360" w:lineRule="exact"/>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施工技术负责人</w:t>
            </w:r>
          </w:p>
        </w:tc>
        <w:tc>
          <w:tcPr>
            <w:tcW w:w="745" w:type="dxa"/>
            <w:vAlign w:val="center"/>
          </w:tcPr>
          <w:p>
            <w:pPr>
              <w:spacing w:line="360" w:lineRule="exact"/>
              <w:jc w:val="center"/>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szCs w:val="20"/>
                <w14:textFill>
                  <w14:solidFill>
                    <w14:schemeClr w14:val="tx1"/>
                  </w14:solidFill>
                </w14:textFill>
              </w:rPr>
              <w:t>1</w:t>
            </w:r>
          </w:p>
        </w:tc>
        <w:tc>
          <w:tcPr>
            <w:tcW w:w="7189" w:type="dxa"/>
            <w:vAlign w:val="center"/>
          </w:tcPr>
          <w:p>
            <w:pPr>
              <w:pStyle w:val="4"/>
              <w:snapToGrid w:val="0"/>
              <w:spacing w:before="0" w:after="0" w:line="360" w:lineRule="exact"/>
              <w:ind w:firstLine="0" w:firstLineChars="0"/>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工程师及以上职称，并有交通部门颁发的有效的施工企业项目负责人（安全生产考核合格证书（B类）。</w:t>
            </w:r>
          </w:p>
        </w:tc>
      </w:tr>
    </w:tbl>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说明：</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1、有行贿犯罪行为的认定以中国裁判文书网（</w:t>
      </w:r>
      <w:r>
        <w:fldChar w:fldCharType="begin"/>
      </w:r>
      <w:r>
        <w:instrText xml:space="preserve"> HYPERLINK "http://wenshu.court.gov.cn/" </w:instrText>
      </w:r>
      <w:r>
        <w:fldChar w:fldCharType="separate"/>
      </w:r>
      <w:r>
        <w:rPr>
          <w:rFonts w:hint="eastAsia" w:ascii="宋体" w:hAnsi="宋体" w:cs="宋体"/>
          <w:color w:val="000000" w:themeColor="text1"/>
          <w:sz w:val="21"/>
          <w:szCs w:val="24"/>
          <w14:textFill>
            <w14:solidFill>
              <w14:schemeClr w14:val="tx1"/>
            </w14:solidFill>
          </w14:textFill>
        </w:rPr>
        <w:t>http://wenshu.court.gov.cn</w:t>
      </w:r>
      <w:r>
        <w:rPr>
          <w:rFonts w:hint="eastAsia" w:ascii="宋体" w:hAnsi="宋体" w:cs="宋体"/>
          <w:color w:val="000000" w:themeColor="text1"/>
          <w:sz w:val="21"/>
          <w:szCs w:val="24"/>
          <w14:textFill>
            <w14:solidFill>
              <w14:schemeClr w14:val="tx1"/>
            </w14:solidFill>
          </w14:textFill>
        </w:rPr>
        <w:fldChar w:fldCharType="end"/>
      </w:r>
      <w:r>
        <w:rPr>
          <w:rFonts w:hint="eastAsia" w:ascii="宋体" w:hAnsi="宋体" w:cs="宋体"/>
          <w:color w:val="000000" w:themeColor="text1"/>
          <w:sz w:val="21"/>
          <w:szCs w:val="24"/>
          <w14:textFill>
            <w14:solidFill>
              <w14:schemeClr w14:val="tx1"/>
            </w14:solidFill>
          </w14:textFill>
        </w:rPr>
        <w:t>）的查询结果为准，时间以法院判决书判决的日期为准。</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2、投标人须知第七章资格后审审查资料“主要人员简历表”后附：拟委任的主要人员身份证（第二代身份证须正反面复印）、职称证书复印件；项目经理、设计负责人和施工技术负责人的执业资格证书复印件；项目经理和施工技术负责人的安全生产考核合格证书（B类）复印件；投标人所属社保机构出具的拟委任的主要人员近三个月内任意一个月参加社保的有效证明材料（并加盖社保机构单位章）。</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3、在建项目的开始时间为合同工程中标通知书发出之日（不通过招标方式的，开始时间为合同签订之日），结束时间为该合同工程通过交工验收或合同解除之日。</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拟委任项目经理是否有“在建项目”按以下原则认定：</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a.若该合同协议书尚未签订，则其中标通知书中明确的项目经理和备选项目经理均视为有“在建项目”；</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b.若该合同协议书已签订的，则仅合同协议书中明确的项目经理视为有“在建项目”。</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c. 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项目”。</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4、“在建项目”范围：包括在中华人民共和国境内所有建设工程，不受地域、行业和投资性质的限制。</w:t>
      </w:r>
    </w:p>
    <w:p>
      <w:pPr>
        <w:pStyle w:val="4"/>
        <w:snapToGrid w:val="0"/>
        <w:spacing w:before="0" w:after="0" w:line="440" w:lineRule="exact"/>
        <w:ind w:firstLine="420" w:firstLineChars="200"/>
        <w:jc w:val="left"/>
        <w:rPr>
          <w:rFonts w:ascii="宋体" w:hAnsi="宋体" w:cs="宋体"/>
          <w:color w:val="000000" w:themeColor="text1"/>
          <w:sz w:val="21"/>
          <w:szCs w:val="24"/>
          <w14:textFill>
            <w14:solidFill>
              <w14:schemeClr w14:val="tx1"/>
            </w14:solidFill>
          </w14:textFill>
        </w:rPr>
      </w:pPr>
      <w:r>
        <w:rPr>
          <w:rFonts w:hint="eastAsia" w:ascii="宋体" w:hAnsi="宋体" w:cs="宋体"/>
          <w:color w:val="000000" w:themeColor="text1"/>
          <w:sz w:val="21"/>
          <w:szCs w:val="24"/>
          <w14:textFill>
            <w14:solidFill>
              <w14:schemeClr w14:val="tx1"/>
            </w14:solidFill>
          </w14:textFill>
        </w:rPr>
        <w:t>5、拟派的项目经理、设计负责人、施工技术负责人岗位不得相互兼任。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3CDD6"/>
    <w:multiLevelType w:val="singleLevel"/>
    <w:tmpl w:val="9223CD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244AF"/>
    <w:rsid w:val="08937FC4"/>
    <w:rsid w:val="21B244AF"/>
    <w:rsid w:val="5BCE3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样式 仿宋_GB2312 四号 段前: 7.8 磅 段后: 7.8 磅 行距: 1.5 倍行距"/>
    <w:basedOn w:val="1"/>
    <w:qFormat/>
    <w:uiPriority w:val="0"/>
    <w:pPr>
      <w:spacing w:before="156" w:after="156" w:line="360" w:lineRule="auto"/>
      <w:ind w:firstLine="630" w:firstLineChars="225"/>
    </w:pPr>
    <w:rPr>
      <w:rFonts w:ascii="Arial" w:hAnsi="Arial"/>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2021-08-30T03:07:00Z</dcterms:created>
  <dc:creator>铁淡酿</dc:creator>
  <cp:lastModifiedBy>dell</cp:lastModifiedBy>
  <dcterms:modified xsi:type="dcterms:W3CDTF">2021-08-30T07:18:52Z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620306D0CDD04663951847165572CEB3</vt:lpwstr>
  </property>
</Properties>
</file>