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全省机动车驾驶员培训专项整治实施方案</w:t>
      </w:r>
      <w:bookmarkEnd w:id="0"/>
    </w:p>
    <w:p>
      <w:pPr>
        <w:adjustRightInd w:val="0"/>
        <w:snapToGrid w:val="0"/>
        <w:spacing w:line="580" w:lineRule="exact"/>
        <w:jc w:val="center"/>
        <w:rPr>
          <w:rFonts w:hint="eastAsia" w:ascii="仿宋_GB2312"/>
          <w:color w:val="000000"/>
          <w:szCs w:val="32"/>
        </w:rPr>
      </w:pPr>
    </w:p>
    <w:p>
      <w:pPr>
        <w:adjustRightInd w:val="0"/>
        <w:snapToGrid w:val="0"/>
        <w:spacing w:line="580" w:lineRule="exact"/>
        <w:ind w:firstLine="628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为全面落实省委省政府关于有效防范化解重大安全风险的决策部署，以及省公安厅与省交通运输厅座谈会纪要精神，进一步加强驾驶员培训管理，严格驾驶员培训监督机制，不断提高驾驶员培训质量，特制定本方案。</w:t>
      </w:r>
    </w:p>
    <w:p>
      <w:pPr>
        <w:adjustRightInd w:val="0"/>
        <w:snapToGrid w:val="0"/>
        <w:spacing w:line="580" w:lineRule="exact"/>
        <w:ind w:firstLine="628" w:firstLineChars="200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一、工作目标</w:t>
      </w:r>
    </w:p>
    <w:p>
      <w:pPr>
        <w:adjustRightInd w:val="0"/>
        <w:snapToGrid w:val="0"/>
        <w:spacing w:line="580" w:lineRule="exact"/>
        <w:ind w:firstLine="628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以切实落实驾培机构主体责任，全面提升培训质量和服务水平为目标，以未落实教学大纲和学时造假为整治重点, 进一步落实监管责任，健全监督机制，坚决查处学时造假等各类违法行为，解决当前驾驶员培训工作存在的突出问题，不断提高行业治理能力和群众满意度，促进驾培行业规范、有序、健康发展。</w:t>
      </w:r>
    </w:p>
    <w:p>
      <w:pPr>
        <w:adjustRightInd w:val="0"/>
        <w:snapToGrid w:val="0"/>
        <w:spacing w:line="580" w:lineRule="exact"/>
        <w:ind w:firstLine="628" w:firstLineChars="200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二、重点任务</w:t>
      </w:r>
    </w:p>
    <w:p>
      <w:pPr>
        <w:spacing w:line="580" w:lineRule="exact"/>
        <w:ind w:firstLine="660"/>
        <w:rPr>
          <w:rFonts w:hint="eastAsia" w:ascii="仿宋_GB2312" w:hAnsi="仿宋"/>
          <w:szCs w:val="32"/>
        </w:rPr>
      </w:pPr>
      <w:r>
        <w:rPr>
          <w:rFonts w:hint="eastAsia" w:ascii="楷体_GB2312" w:eastAsia="楷体_GB2312"/>
          <w:kern w:val="0"/>
          <w:szCs w:val="32"/>
          <w:lang w:val="zh-TW" w:bidi="zh-TW"/>
        </w:rPr>
        <w:t>（一）核查驾培机构资质。</w:t>
      </w:r>
      <w:r>
        <w:rPr>
          <w:rFonts w:hint="eastAsia" w:ascii="仿宋_GB2312" w:hAnsi="仿宋"/>
          <w:szCs w:val="32"/>
        </w:rPr>
        <w:t>对照《机动车驾驶员培训机构资格条件》（GB/T 30340-2013）和《机动车驾驶员培训教练场技术要求》（GB/T 30341-2013），对辖区内所有驾培机构培训资质进行复核。重点核查教练场地面积、实际教学教练员与系统上报教练员一致性等问题，对不符合国家标准的驾培机构，责令改正，拒不改正的，由原许可机关吊销其经营许可。积极鼓励现有驾培资源整合，引导行业集约化、规模化发展。定期发布驾培市场供求信息，引导社会资金理性进入，推动市场良性发展。</w:t>
      </w:r>
    </w:p>
    <w:p>
      <w:pPr>
        <w:spacing w:line="580" w:lineRule="exact"/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楷体_GB2312" w:eastAsia="楷体_GB2312"/>
          <w:kern w:val="0"/>
          <w:szCs w:val="32"/>
          <w:lang w:val="zh-TW" w:bidi="zh-TW"/>
        </w:rPr>
        <w:t>（二）强化驾培机构主体责任。</w:t>
      </w:r>
      <w:r>
        <w:rPr>
          <w:rFonts w:hint="eastAsia" w:ascii="仿宋_GB2312" w:hAnsi="仿宋"/>
          <w:szCs w:val="32"/>
        </w:rPr>
        <w:t>强化监督管理，加强检查，督促驾培机构严格按照教学大纲进行培训，如实填写教学日志以及培训记录，确保培训质量。重点查处未按教学大纲和学时进行教学、学时造假、填写教学日志和培训记录弄虚作假、向培训未结业的人员颁发《结业证书》等违法违规行为。</w:t>
      </w:r>
    </w:p>
    <w:p>
      <w:pPr>
        <w:spacing w:line="580" w:lineRule="exact"/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楷体_GB2312" w:eastAsia="楷体_GB2312"/>
          <w:kern w:val="0"/>
          <w:szCs w:val="32"/>
          <w:lang w:val="zh-TW" w:bidi="zh-TW"/>
        </w:rPr>
        <w:t>（三）加强教练员队伍管理。</w:t>
      </w:r>
      <w:r>
        <w:rPr>
          <w:rFonts w:hint="eastAsia" w:ascii="仿宋_GB2312" w:hAnsi="仿宋"/>
          <w:szCs w:val="32"/>
        </w:rPr>
        <w:t>引导驾培机构选用驾驶和教学经验丰富、安全文明驾驶素质高的驾驶人担任教练员。督促驾培机构完善教练员管理制度，按照统一的教学大纲规范教学，不得将教练车辆交给与教学无关的人员驾驶，严厉查处教练员组织或参与考试舞弊、收受或索取学员财物等行为。严格教学活动监督管理，对学员投诉多、培训质量和职业道德差的教练员，严格考核和聘用制度。</w:t>
      </w:r>
    </w:p>
    <w:p>
      <w:pPr>
        <w:spacing w:line="580" w:lineRule="exact"/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楷体_GB2312" w:eastAsia="楷体_GB2312"/>
          <w:kern w:val="0"/>
          <w:szCs w:val="32"/>
          <w:lang w:val="zh-TW" w:bidi="zh-TW"/>
        </w:rPr>
        <w:t>（四）保障学员合法权益。</w:t>
      </w:r>
      <w:r>
        <w:rPr>
          <w:rFonts w:hint="eastAsia" w:ascii="仿宋_GB2312" w:hAnsi="仿宋"/>
          <w:szCs w:val="32"/>
        </w:rPr>
        <w:t>按照《浙江省实施&lt;中华人民共和国消费者权益保护法&gt;办法》和《浙江省市场中介机构管理办法》有关规定，督促驾培机构与学员签订合同，明确双方权利义务，保护学员合法权益。落实计时培训计时收费、先培训后付费的服务措施。督促驾培机构公示其经营类别、培训范围、收费项目、收费标准、教练员、教学场地等情况。联合相关部门加强对驾培中介机构的监督检查，严厉打击非法网络平台，培育驾培行业合法规范的网络平台。</w:t>
      </w:r>
    </w:p>
    <w:p>
      <w:pPr>
        <w:spacing w:line="580" w:lineRule="exact"/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楷体_GB2312" w:eastAsia="楷体_GB2312"/>
          <w:color w:val="000000"/>
          <w:kern w:val="0"/>
          <w:szCs w:val="32"/>
          <w:lang w:val="zh-TW" w:bidi="zh-TW"/>
        </w:rPr>
        <w:t>（五）加强计时平台检查。</w:t>
      </w:r>
      <w:r>
        <w:rPr>
          <w:rFonts w:hint="eastAsia" w:ascii="仿宋_GB2312" w:hAnsi="仿宋"/>
          <w:szCs w:val="32"/>
        </w:rPr>
        <w:t>对照《机动车驾驶员计时培训系统平台技术规范》和《机动车驾驶员计时培训系统计时终端技术规范》，检查计时平台实际功能是否满足要求，是否对学时造假用的照片机等外接设备提供方便，落实通过人脸识别签到签退。对计时平台进行排名通报，促进技术升级，便于驾培机构自主择优选择。严厉查处驾培机构、教练员私自调整、移动、遮挡摄像头，私拆车载计时培训终端设备或外接其它设备等行为。</w:t>
      </w:r>
    </w:p>
    <w:p>
      <w:pPr>
        <w:adjustRightInd w:val="0"/>
        <w:snapToGrid w:val="0"/>
        <w:spacing w:line="580" w:lineRule="exact"/>
        <w:ind w:firstLine="462" w:firstLineChars="147"/>
        <w:rPr>
          <w:rFonts w:hint="eastAsia"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kern w:val="0"/>
          <w:szCs w:val="32"/>
          <w:lang w:val="zh-TW" w:bidi="zh-TW"/>
        </w:rPr>
        <w:t>（六）完善</w:t>
      </w:r>
      <w:r>
        <w:rPr>
          <w:rFonts w:hint="eastAsia" w:ascii="楷体_GB2312" w:eastAsia="楷体_GB2312"/>
          <w:color w:val="000000"/>
          <w:kern w:val="0"/>
          <w:szCs w:val="32"/>
          <w:lang w:bidi="zh-TW"/>
        </w:rPr>
        <w:t>驾培监管服务平台</w:t>
      </w:r>
      <w:r>
        <w:rPr>
          <w:rFonts w:hint="eastAsia" w:ascii="楷体_GB2312" w:eastAsia="楷体_GB2312"/>
          <w:color w:val="000000"/>
          <w:kern w:val="0"/>
          <w:szCs w:val="32"/>
          <w:lang w:val="zh-TW" w:bidi="zh-TW"/>
        </w:rPr>
        <w:t>。</w:t>
      </w:r>
      <w:r>
        <w:rPr>
          <w:rFonts w:hint="eastAsia" w:ascii="仿宋_GB2312"/>
          <w:color w:val="000000"/>
          <w:szCs w:val="32"/>
        </w:rPr>
        <w:t>省厅要对驾培监管服务平台升级改造，增加对理论与实操交叉培训监测、异地考试学时审核等功能，提高监管智慧化能力。进一步解决学驾高峰时段系统卡、顿等问题，保障服务质量和系统平稳运行。各市要确保培训数据实时上传、异常数据及时审核处理、培训过程事后倒查。</w:t>
      </w:r>
    </w:p>
    <w:p>
      <w:pPr>
        <w:adjustRightInd w:val="0"/>
        <w:snapToGrid w:val="0"/>
        <w:spacing w:line="580" w:lineRule="exact"/>
        <w:ind w:firstLine="628" w:firstLineChars="200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三、工作举措</w:t>
      </w:r>
    </w:p>
    <w:p>
      <w:pPr>
        <w:adjustRightInd w:val="0"/>
        <w:snapToGrid w:val="0"/>
        <w:spacing w:line="580" w:lineRule="exact"/>
        <w:ind w:firstLine="462" w:firstLineChars="147"/>
        <w:rPr>
          <w:rFonts w:hint="eastAsia"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（一）分级约谈。</w:t>
      </w:r>
      <w:r>
        <w:rPr>
          <w:rFonts w:hint="eastAsia" w:ascii="仿宋_GB2312"/>
          <w:color w:val="000000"/>
          <w:szCs w:val="32"/>
        </w:rPr>
        <w:t>省厅集中对相关地市交通运输局和全省计时系统运营商进行约谈，对工作相对滞后的地市，督促主管部门加大工作力度；对计时设备存在的技术漏洞，要督促生产商立即整改，提高采集真实数据的能力。各市交通运输局对辖区县（市、区）交通运输局进行集中约谈，加强驾培业务和执法指导，压实工作责任和任务。县（市、区）交通运输局要对辖区驾培机构进行集中约谈，督促其落实培训主体责任，对当前培训工作存在的突出问题，要自查自纠。</w:t>
      </w:r>
    </w:p>
    <w:p>
      <w:pPr>
        <w:adjustRightInd w:val="0"/>
        <w:snapToGrid w:val="0"/>
        <w:spacing w:line="580" w:lineRule="exact"/>
        <w:ind w:firstLine="462" w:firstLineChars="147"/>
        <w:rPr>
          <w:rFonts w:hint="eastAsia"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（二）集中执法。</w:t>
      </w:r>
      <w:r>
        <w:rPr>
          <w:rFonts w:hint="eastAsia" w:ascii="仿宋_GB2312"/>
          <w:color w:val="000000"/>
          <w:szCs w:val="32"/>
        </w:rPr>
        <w:t>各县（市、区）交通运输局每月要召集辖区所有的驾培机构，利用驾培监管服务平台，集中对每家驾培机构上传的教学日志进行随机抽查，通过人工研判，当场确认违法行为，依法对违法的驾培机构作出处罚决定，情节严重的，要加大处罚力度。各市交通运输局要派专人现场指导监督。</w:t>
      </w:r>
    </w:p>
    <w:p>
      <w:pPr>
        <w:adjustRightInd w:val="0"/>
        <w:snapToGrid w:val="0"/>
        <w:spacing w:line="580" w:lineRule="exact"/>
        <w:ind w:firstLine="462" w:firstLineChars="147"/>
        <w:rPr>
          <w:rFonts w:hint="eastAsia" w:ascii="仿宋_GB2312" w:hAnsi="仿宋_GB2312"/>
          <w:bCs/>
          <w:color w:val="000000"/>
          <w:kern w:val="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（三）随机抽查。</w:t>
      </w:r>
      <w:r>
        <w:rPr>
          <w:rFonts w:hint="eastAsia" w:ascii="仿宋_GB2312" w:hAnsi="仿宋_GB2312"/>
          <w:bCs/>
          <w:color w:val="000000"/>
          <w:kern w:val="0"/>
          <w:szCs w:val="32"/>
        </w:rPr>
        <w:t>整治期间，各市要指导督促县（市、区）交通运输局利用驾培监管服务平台，加大抽查和处罚力度，压实行业监管主体责任。加大对教学日志人工审核力度，其中绍兴、宁波、金华（含义乌）人工审核比例不低于60%，杭州、嘉兴、舟山人工审核比例不低于40%，其余地市不低于20%。对人工审核的异常数据，要及时推送给综合监管平台，产生工单。各市要加大执法力量投入，及时处理推送的工单，实现工单按时清零。</w:t>
      </w:r>
    </w:p>
    <w:p>
      <w:pPr>
        <w:spacing w:line="580" w:lineRule="exact"/>
        <w:ind w:firstLine="628" w:firstLineChars="200"/>
        <w:rPr>
          <w:rFonts w:hint="eastAsia" w:ascii="仿宋_GB2312"/>
          <w:color w:val="FF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（四）重点监管。</w:t>
      </w:r>
      <w:r>
        <w:rPr>
          <w:rFonts w:hint="eastAsia" w:ascii="仿宋_GB2312" w:hAnsi="仿宋_GB2312"/>
          <w:bCs/>
          <w:color w:val="000000"/>
          <w:kern w:val="0"/>
          <w:szCs w:val="32"/>
        </w:rPr>
        <w:t>各市对查明的问题，应对照《浙江省道路运输条例》《机动车驾驶员培训管理规定》等有关规定，责令驾培机构和教练员限期整改；情节严重的，列入重点监管名单，责令其停业整顿或停止招生直至吊销其经营许可，同时将监管名单报省厅，真正做到“通报一批、处罚一批、清退一批”，形成专项整治的高压态势。</w:t>
      </w:r>
    </w:p>
    <w:p>
      <w:pPr>
        <w:spacing w:line="580" w:lineRule="exact"/>
        <w:ind w:firstLine="628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楷体_GB2312" w:eastAsia="楷体_GB2312"/>
          <w:color w:val="000000"/>
          <w:kern w:val="0"/>
          <w:szCs w:val="32"/>
          <w:lang w:val="zh-TW" w:bidi="zh-TW"/>
        </w:rPr>
        <w:t>（</w:t>
      </w:r>
      <w:r>
        <w:rPr>
          <w:rFonts w:hint="eastAsia" w:ascii="楷体_GB2312" w:eastAsia="楷体_GB2312"/>
          <w:color w:val="000000"/>
          <w:kern w:val="0"/>
          <w:szCs w:val="32"/>
          <w:lang w:bidi="zh-TW"/>
        </w:rPr>
        <w:t>五</w:t>
      </w:r>
      <w:r>
        <w:rPr>
          <w:rFonts w:hint="eastAsia" w:ascii="楷体_GB2312" w:eastAsia="楷体_GB2312"/>
          <w:color w:val="000000"/>
          <w:kern w:val="0"/>
          <w:szCs w:val="32"/>
          <w:lang w:val="zh-TW" w:bidi="zh-TW"/>
        </w:rPr>
        <w:t>）部门协同。</w:t>
      </w:r>
      <w:r>
        <w:rPr>
          <w:rFonts w:hint="eastAsia" w:ascii="仿宋_GB2312" w:hAnsi="仿宋_GB2312"/>
          <w:bCs/>
          <w:color w:val="000000"/>
          <w:kern w:val="0"/>
          <w:szCs w:val="32"/>
        </w:rPr>
        <w:t>各市要建立完善与公安部门的联动机制，推进公安、交通运输管理部门监管信息共享和公开，向社会公布驾培机构、教练员培训质量情况以及考试合格率、学员投诉率等信息，引导学员选择质量高、服务好的驾培机构进行学习，创建文明诚信优质服务驾培机构、教练员等评优活动，培育和树立一批品牌驾培机构，引领行业提升服务品质。</w:t>
      </w:r>
    </w:p>
    <w:p>
      <w:pPr>
        <w:adjustRightInd w:val="0"/>
        <w:snapToGrid w:val="0"/>
        <w:spacing w:line="580" w:lineRule="exact"/>
        <w:ind w:firstLine="628" w:firstLineChars="200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四、时间安排</w:t>
      </w:r>
    </w:p>
    <w:p>
      <w:pPr>
        <w:spacing w:line="580" w:lineRule="exact"/>
        <w:ind w:firstLine="616" w:firstLineChars="196"/>
        <w:rPr>
          <w:rFonts w:hint="eastAsia" w:ascii="仿宋_GB2312" w:hAnsi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/>
          <w:bCs/>
          <w:color w:val="000000"/>
          <w:kern w:val="0"/>
          <w:szCs w:val="32"/>
        </w:rPr>
        <w:t>2021年4月底前，各市按照本方案要求和工作进度安排（见附件1），制定符合当地实际的实施方案，明确工作目标、节点任务和职责分工，整合资源力量，健全工作机制，全面动员部署；5月至10月底，按照实施方案和目标任务，全面开展整治，确保全面落实各项整治举措；11月至12月底，在全面完成整治任务目标基础上，总结专项整治经验做法，进一步固化形成长效机制。</w:t>
      </w:r>
    </w:p>
    <w:p>
      <w:pPr>
        <w:adjustRightInd w:val="0"/>
        <w:snapToGrid w:val="0"/>
        <w:spacing w:line="580" w:lineRule="exact"/>
        <w:ind w:firstLine="628" w:firstLineChars="200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五、保障措施</w:t>
      </w:r>
    </w:p>
    <w:p>
      <w:pPr>
        <w:spacing w:line="580" w:lineRule="exact"/>
        <w:ind w:firstLine="694" w:firstLineChars="221"/>
        <w:rPr>
          <w:rFonts w:hint="eastAsia"/>
          <w:color w:val="000000"/>
          <w:szCs w:val="32"/>
        </w:rPr>
      </w:pPr>
      <w:r>
        <w:rPr>
          <w:rFonts w:hint="eastAsia" w:ascii="楷体_GB2312" w:hAnsi="华文楷体" w:eastAsia="楷体_GB2312"/>
          <w:color w:val="000000"/>
          <w:szCs w:val="32"/>
        </w:rPr>
        <w:t>（一）加强组织领导</w:t>
      </w:r>
      <w:r>
        <w:rPr>
          <w:rFonts w:hint="eastAsia" w:ascii="楷体_GB2312" w:hAnsi="华文楷体" w:eastAsia="楷体_GB2312"/>
          <w:b/>
          <w:color w:val="000000"/>
          <w:szCs w:val="32"/>
        </w:rPr>
        <w:t>。</w:t>
      </w:r>
      <w:r>
        <w:rPr>
          <w:rFonts w:hint="eastAsia" w:ascii="仿宋_GB2312" w:hAnsi="仿宋_GB2312"/>
          <w:bCs/>
          <w:color w:val="000000"/>
          <w:kern w:val="0"/>
          <w:szCs w:val="32"/>
        </w:rPr>
        <w:t>省厅抽调嘉兴、衢州、台州等市管理人员和驾培监管服务平台技术人员，成立省厅驾培专项整治工作专班。各市要按照省厅的统一部署，健全工作机制，也要成立驾培专项整治工作专班，组织骨干力量，强化对专项整治工作的领导、部署和推动，加强监管执法和指导服务，保障各项整治任务顺利有效推进。</w:t>
      </w:r>
    </w:p>
    <w:p>
      <w:pPr>
        <w:spacing w:line="580" w:lineRule="exact"/>
        <w:ind w:firstLine="694" w:firstLineChars="221"/>
        <w:rPr>
          <w:rFonts w:ascii="仿宋_GB2312" w:hAnsi="仿宋_GB2312"/>
          <w:bCs/>
          <w:color w:val="000000"/>
          <w:kern w:val="0"/>
          <w:szCs w:val="32"/>
        </w:rPr>
      </w:pPr>
      <w:r>
        <w:rPr>
          <w:rFonts w:hint="eastAsia" w:ascii="楷体_GB2312" w:hAnsi="华文楷体" w:eastAsia="楷体_GB2312"/>
          <w:color w:val="000000"/>
          <w:szCs w:val="32"/>
        </w:rPr>
        <w:t>（二）强化考评督查。</w:t>
      </w:r>
      <w:r>
        <w:rPr>
          <w:rFonts w:hint="eastAsia" w:ascii="仿宋_GB2312" w:hAnsi="仿宋_GB2312"/>
          <w:bCs/>
          <w:color w:val="000000"/>
          <w:kern w:val="0"/>
          <w:szCs w:val="32"/>
        </w:rPr>
        <w:t>各市要将整治的各项重点任务按时间节点细化分解，切实压实责任。采用“四不两直”明查暗访、异地交叉检查等方式，不定期开展督查检查，及时了解各项工作开展情况，并予以通报，形成比拼赶超氛围。每月5日前将上月专项整治情况（见附件2）报省厅，省厅将通报各市整治进展情况。</w:t>
      </w:r>
    </w:p>
    <w:p>
      <w:pPr>
        <w:spacing w:line="580" w:lineRule="exact"/>
        <w:ind w:firstLine="694" w:firstLineChars="221"/>
        <w:rPr>
          <w:rFonts w:hint="eastAsia" w:ascii="仿宋_GB2312" w:hAnsi="仿宋_GB2312"/>
          <w:bCs/>
          <w:color w:val="000000"/>
          <w:kern w:val="0"/>
          <w:szCs w:val="32"/>
        </w:rPr>
      </w:pPr>
      <w:r>
        <w:rPr>
          <w:rFonts w:hint="eastAsia" w:ascii="楷体_GB2312" w:hAnsi="华文楷体" w:eastAsia="楷体_GB2312"/>
          <w:color w:val="000000"/>
          <w:szCs w:val="32"/>
        </w:rPr>
        <w:t>（三）强化宣传引导。</w:t>
      </w:r>
      <w:r>
        <w:rPr>
          <w:rFonts w:hint="eastAsia" w:ascii="仿宋_GB2312" w:hAnsi="仿宋_GB2312"/>
          <w:bCs/>
          <w:color w:val="000000"/>
          <w:kern w:val="0"/>
          <w:szCs w:val="32"/>
        </w:rPr>
        <w:t>各市要充分利用政府网站和各类媒体，采取多种形式大力宣传专项整治的意义、进展情况和取得的成效，尤其要充分运用正反两方面的典型，加强正向引领和反面警示教育，积极开展以案释法，加强宣传教育，形成全社会参与支持、群防群治的良好局面。</w:t>
      </w:r>
    </w:p>
    <w:p>
      <w:pPr>
        <w:spacing w:line="580" w:lineRule="exact"/>
        <w:ind w:firstLine="694" w:firstLineChars="221"/>
        <w:rPr>
          <w:rFonts w:hint="eastAsia" w:ascii="仿宋_GB2312" w:hAnsi="仿宋_GB2312"/>
          <w:bCs/>
          <w:color w:val="000000"/>
          <w:kern w:val="0"/>
          <w:szCs w:val="32"/>
        </w:rPr>
      </w:pPr>
    </w:p>
    <w:p>
      <w:pPr>
        <w:spacing w:line="580" w:lineRule="exact"/>
        <w:ind w:firstLine="694" w:firstLineChars="221"/>
        <w:rPr>
          <w:rFonts w:hint="eastAsia" w:ascii="仿宋_GB2312" w:hAnsi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/>
          <w:bCs/>
          <w:color w:val="000000"/>
          <w:kern w:val="0"/>
          <w:szCs w:val="32"/>
        </w:rPr>
        <w:t>附件：1.全省机动车驾驶员培训专项整治工作进度表</w:t>
      </w:r>
    </w:p>
    <w:p>
      <w:pPr>
        <w:spacing w:line="580" w:lineRule="exact"/>
        <w:ind w:firstLine="694" w:firstLineChars="221"/>
        <w:rPr>
          <w:color w:val="000000"/>
          <w:szCs w:val="32"/>
        </w:rPr>
      </w:pPr>
      <w:r>
        <w:rPr>
          <w:rFonts w:hint="eastAsia" w:ascii="仿宋_GB2312" w:hAnsi="仿宋_GB2312"/>
          <w:bCs/>
          <w:color w:val="000000"/>
          <w:kern w:val="0"/>
          <w:szCs w:val="32"/>
        </w:rPr>
        <w:t xml:space="preserve">      2.全省机动车驾驶员培训专项整治月报表</w:t>
      </w:r>
    </w:p>
    <w:p>
      <w:pPr>
        <w:spacing w:line="580" w:lineRule="exact"/>
        <w:ind w:firstLine="694" w:firstLineChars="221"/>
        <w:rPr>
          <w:rFonts w:hint="eastAsia"/>
          <w:color w:val="000000"/>
          <w:szCs w:val="32"/>
        </w:rPr>
      </w:pPr>
    </w:p>
    <w:p>
      <w:pPr>
        <w:spacing w:line="580" w:lineRule="exact"/>
        <w:ind w:firstLine="694" w:firstLineChars="221"/>
        <w:rPr>
          <w:color w:val="000000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531" w:bottom="1134" w:left="1531" w:header="851" w:footer="1134" w:gutter="0"/>
          <w:cols w:space="425" w:num="1"/>
          <w:titlePg/>
          <w:docGrid w:type="linesAndChars" w:linePitch="579" w:charSpace="-1266"/>
        </w:sect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全省机动车驾驶员培训专项整治工作进度表</w:t>
      </w:r>
    </w:p>
    <w:p>
      <w:pPr>
        <w:rPr>
          <w:rFonts w:hint="eastAsia" w:ascii="黑体" w:hAnsi="黑体" w:eastAsia="黑体"/>
        </w:rPr>
      </w:pPr>
      <w:r>
        <w:rPr>
          <w:rFonts w:hint="eastAsia"/>
        </w:rPr>
        <w:drawing>
          <wp:inline distT="0" distB="0" distL="114300" distR="114300">
            <wp:extent cx="8883015" cy="4363720"/>
            <wp:effectExtent l="0" t="0" r="1333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83015" cy="4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全省机动车驾驶员培训专项整治月报表</w:t>
      </w:r>
    </w:p>
    <w:p>
      <w:pPr>
        <w:ind w:firstLine="440" w:firstLineChars="100"/>
        <w:jc w:val="left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u w:val="single"/>
        </w:rPr>
        <w:t xml:space="preserve">    </w:t>
      </w:r>
      <w:r>
        <w:rPr>
          <w:rFonts w:hint="eastAsia" w:ascii="仿宋_GB2312" w:hAnsi="华文中宋"/>
          <w:sz w:val="28"/>
          <w:szCs w:val="28"/>
        </w:rPr>
        <w:t xml:space="preserve">市交通运输局：（盖章）                                              </w:t>
      </w:r>
      <w:r>
        <w:rPr>
          <w:rFonts w:hint="eastAsia" w:ascii="仿宋_GB2312" w:hAnsi="华文中宋"/>
          <w:sz w:val="28"/>
          <w:szCs w:val="28"/>
          <w:u w:val="single"/>
        </w:rPr>
        <w:t xml:space="preserve">   </w:t>
      </w:r>
      <w:r>
        <w:rPr>
          <w:rFonts w:hint="eastAsia" w:ascii="仿宋_GB2312" w:hAnsi="华文中宋"/>
          <w:sz w:val="28"/>
          <w:szCs w:val="28"/>
        </w:rPr>
        <w:t>月</w:t>
      </w:r>
      <w:r>
        <w:rPr>
          <w:rFonts w:hint="eastAsia" w:ascii="仿宋_GB2312" w:hAnsi="华文中宋"/>
          <w:sz w:val="28"/>
          <w:szCs w:val="28"/>
          <w:u w:val="single"/>
        </w:rPr>
        <w:t xml:space="preserve">   </w:t>
      </w:r>
      <w:r>
        <w:rPr>
          <w:rFonts w:hint="eastAsia" w:ascii="仿宋_GB2312" w:hAnsi="华文中宋"/>
          <w:sz w:val="28"/>
          <w:szCs w:val="28"/>
        </w:rPr>
        <w:t xml:space="preserve">日至 </w:t>
      </w:r>
      <w:r>
        <w:rPr>
          <w:rFonts w:hint="eastAsia" w:ascii="仿宋_GB2312" w:hAnsi="华文中宋"/>
          <w:sz w:val="28"/>
          <w:szCs w:val="28"/>
          <w:u w:val="single"/>
        </w:rPr>
        <w:t xml:space="preserve">   </w:t>
      </w:r>
      <w:r>
        <w:rPr>
          <w:rFonts w:hint="eastAsia" w:ascii="仿宋_GB2312" w:hAnsi="华文中宋"/>
          <w:sz w:val="28"/>
          <w:szCs w:val="28"/>
        </w:rPr>
        <w:t>月</w:t>
      </w:r>
      <w:r>
        <w:rPr>
          <w:rFonts w:hint="eastAsia" w:ascii="仿宋_GB2312" w:hAnsi="华文中宋"/>
          <w:sz w:val="28"/>
          <w:szCs w:val="28"/>
          <w:u w:val="single"/>
        </w:rPr>
        <w:t xml:space="preserve">   </w:t>
      </w:r>
      <w:r>
        <w:rPr>
          <w:rFonts w:hint="eastAsia" w:ascii="仿宋_GB2312" w:hAnsi="华文中宋"/>
          <w:sz w:val="28"/>
          <w:szCs w:val="28"/>
        </w:rPr>
        <w:t>日</w:t>
      </w:r>
    </w:p>
    <w:tbl>
      <w:tblPr>
        <w:tblStyle w:val="4"/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992"/>
        <w:gridCol w:w="993"/>
        <w:gridCol w:w="1134"/>
        <w:gridCol w:w="992"/>
        <w:gridCol w:w="992"/>
        <w:gridCol w:w="1134"/>
        <w:gridCol w:w="862"/>
        <w:gridCol w:w="1119"/>
        <w:gridCol w:w="980"/>
        <w:gridCol w:w="980"/>
        <w:gridCol w:w="841"/>
        <w:gridCol w:w="980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资质核查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分级约谈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集中执法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随机抽查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重点监管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现有驾培机构数量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核查驾培机构数量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列入整改的驾培机构数量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约谈县（市、区）行业管理部门数量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约谈驾培机构数量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集中执法县（市、区）数量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当场处罚驾培机构数量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当场处罚教练员数量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教学日志总量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人工审核教学日志数量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推送综合监管平台工单数量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工单处置率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驾培机构数量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教练员数量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-712470</wp:posOffset>
                  </wp:positionH>
                  <wp:positionV relativeFrom="paragraph">
                    <wp:posOffset>9525</wp:posOffset>
                  </wp:positionV>
                  <wp:extent cx="552450" cy="1790700"/>
                  <wp:effectExtent l="0" t="0" r="0" b="0"/>
                  <wp:wrapNone/>
                  <wp:docPr id="2" name="图片 2" descr="通知_厅便笺〔2021〕412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通知_厅便笺〔2021〕412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Calibri"/>
                <w:szCs w:val="32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11" w:type="first"/>
      <w:footerReference r:id="rId9" w:type="default"/>
      <w:footerReference r:id="rId10" w:type="even"/>
      <w:type w:val="continuous"/>
      <w:pgSz w:w="16838" w:h="11906" w:orient="landscape"/>
      <w:pgMar w:top="1531" w:right="1701" w:bottom="1531" w:left="1134" w:header="851" w:footer="1134" w:gutter="0"/>
      <w:cols w:space="425" w:num="1"/>
      <w:titlePg/>
      <w:docGrid w:type="line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thickThinSmallGap" w:color="FF0000" w:sz="12" w:space="1"/>
      </w:pBdr>
      <w:rPr>
        <w:rFonts w:ascii="宋体" w:hAnsi="宋体" w:eastAsia="宋体"/>
        <w:sz w:val="21"/>
        <w:szCs w:val="21"/>
      </w:rPr>
    </w:pPr>
    <w:r>
      <w:rPr>
        <w:rFonts w:hint="eastAsia" w:ascii="宋体" w:hAnsi="宋体" w:eastAsia="宋体"/>
        <w:sz w:val="21"/>
        <w:szCs w:val="21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420" w:h="1157" w:hRule="exact" w:wrap="around" w:vAnchor="page" w:hAnchor="page" w:x="1305" w:y="1815"/>
      <w:shd w:val="solid" w:color="FFFFFF" w:fill="FFFFFF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  <w:p>
    <w:pPr>
      <w:pStyle w:val="2"/>
      <w:ind w:firstLine="180" w:firstLineChars="1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301" w:h="1094" w:hRule="exact" w:wrap="around" w:vAnchor="page" w:hAnchor="page" w:x="1305" w:y="9130"/>
      <w:shd w:val="solid" w:color="FFFFFF" w:fill="FFFFFF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43B63"/>
    <w:rsid w:val="18A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2.png"/><Relationship Id="rId13" Type="http://schemas.openxmlformats.org/officeDocument/2006/relationships/image" Target="media/image1.emf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2021-04-08T01:51:00Z</dcterms:created>
  <dc:creator>dell</dc:creator>
  <cp:lastModifiedBy>dell</cp:lastModifiedBy>
  <dcterms:modified xsi:type="dcterms:W3CDTF">2021-04-08T01:51:34Z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4283102608594CD79DD6A847B2A6DF5A</vt:lpwstr>
  </property>
</Properties>
</file>