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240" w:line="240" w:lineRule="auto"/>
        <w:jc w:val="center"/>
        <w:rPr>
          <w:rFonts w:ascii="黑体" w:hAnsi="黑体" w:eastAsia="黑体"/>
          <w:color w:val="auto"/>
          <w:highlight w:val="none"/>
        </w:rPr>
      </w:pPr>
      <w:bookmarkStart w:id="29" w:name="_GoBack"/>
      <w:bookmarkEnd w:id="29"/>
      <w:bookmarkStart w:id="0" w:name="_Toc363291635"/>
      <w:r>
        <w:rPr>
          <w:rFonts w:hint="eastAsia" w:ascii="黑体" w:hAnsi="黑体" w:eastAsia="黑体"/>
          <w:color w:val="auto"/>
          <w:highlight w:val="none"/>
        </w:rPr>
        <w:t>附录</w:t>
      </w:r>
      <w:r>
        <w:rPr>
          <w:rFonts w:ascii="黑体" w:hAnsi="黑体" w:eastAsia="黑体"/>
          <w:color w:val="auto"/>
          <w:highlight w:val="none"/>
        </w:rPr>
        <w:t xml:space="preserve">1  </w:t>
      </w:r>
      <w:r>
        <w:rPr>
          <w:rFonts w:hint="eastAsia" w:ascii="黑体" w:hAnsi="黑体" w:eastAsia="黑体"/>
          <w:color w:val="auto"/>
          <w:highlight w:val="none"/>
        </w:rPr>
        <w:t>资格审查条件（资质最低条件）</w:t>
      </w:r>
      <w:bookmarkEnd w:id="0"/>
    </w:p>
    <w:tbl>
      <w:tblPr>
        <w:tblStyle w:val="6"/>
        <w:tblW w:w="936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7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7" w:hRule="atLeast"/>
        </w:trPr>
        <w:tc>
          <w:tcPr>
            <w:tcW w:w="1560" w:type="dxa"/>
            <w:tcBorders>
              <w:top w:val="single" w:color="auto" w:sz="12" w:space="0"/>
            </w:tcBorders>
            <w:vAlign w:val="center"/>
          </w:tcPr>
          <w:p>
            <w:pPr>
              <w:spacing w:before="156" w:beforeLines="50" w:after="156" w:afterLines="50" w:line="420" w:lineRule="exact"/>
              <w:jc w:val="center"/>
              <w:rPr>
                <w:rFonts w:ascii="宋体"/>
                <w:b/>
                <w:color w:val="auto"/>
                <w:szCs w:val="21"/>
                <w:highlight w:val="none"/>
              </w:rPr>
            </w:pPr>
            <w:r>
              <w:rPr>
                <w:rFonts w:hint="eastAsia" w:ascii="宋体" w:hAnsi="宋体"/>
                <w:b/>
                <w:color w:val="auto"/>
                <w:szCs w:val="21"/>
                <w:highlight w:val="none"/>
              </w:rPr>
              <w:t>标段</w:t>
            </w:r>
          </w:p>
        </w:tc>
        <w:tc>
          <w:tcPr>
            <w:tcW w:w="7800" w:type="dxa"/>
            <w:tcBorders>
              <w:top w:val="single" w:color="auto" w:sz="12" w:space="0"/>
            </w:tcBorders>
            <w:vAlign w:val="center"/>
          </w:tcPr>
          <w:p>
            <w:pPr>
              <w:spacing w:before="156" w:beforeLines="50" w:after="156" w:afterLines="50" w:line="420" w:lineRule="exact"/>
              <w:jc w:val="center"/>
              <w:rPr>
                <w:rFonts w:ascii="宋体"/>
                <w:b/>
                <w:color w:val="auto"/>
                <w:szCs w:val="21"/>
                <w:highlight w:val="none"/>
              </w:rPr>
            </w:pPr>
            <w:r>
              <w:rPr>
                <w:rFonts w:hint="eastAsia" w:ascii="宋体" w:hAnsi="宋体"/>
                <w:b/>
                <w:color w:val="auto"/>
                <w:szCs w:val="21"/>
                <w:highlight w:val="none"/>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0" w:hRule="atLeast"/>
        </w:trPr>
        <w:tc>
          <w:tcPr>
            <w:tcW w:w="1560" w:type="dxa"/>
            <w:tcBorders>
              <w:bottom w:val="single" w:color="auto" w:sz="12" w:space="0"/>
            </w:tcBorders>
          </w:tcPr>
          <w:p>
            <w:pPr>
              <w:spacing w:line="360" w:lineRule="auto"/>
              <w:ind w:right="420" w:rightChars="200"/>
              <w:jc w:val="center"/>
              <w:rPr>
                <w:rFonts w:ascii="宋体" w:hAnsi="宋体"/>
                <w:b/>
                <w:color w:val="auto"/>
                <w:szCs w:val="21"/>
                <w:highlight w:val="none"/>
              </w:rPr>
            </w:pPr>
          </w:p>
          <w:p>
            <w:pPr>
              <w:spacing w:line="360" w:lineRule="auto"/>
              <w:ind w:right="420" w:rightChars="200"/>
              <w:jc w:val="center"/>
              <w:rPr>
                <w:rFonts w:ascii="宋体"/>
                <w:b/>
                <w:color w:val="auto"/>
                <w:szCs w:val="21"/>
                <w:highlight w:val="none"/>
              </w:rPr>
            </w:pPr>
            <w:r>
              <w:rPr>
                <w:rFonts w:hint="eastAsia" w:ascii="宋体" w:hAnsi="宋体"/>
                <w:b/>
                <w:color w:val="auto"/>
                <w:szCs w:val="21"/>
                <w:highlight w:val="none"/>
                <w:lang w:eastAsia="zh-CN"/>
              </w:rPr>
              <w:t>工艺安装标段</w:t>
            </w:r>
          </w:p>
        </w:tc>
        <w:tc>
          <w:tcPr>
            <w:tcW w:w="7800" w:type="dxa"/>
            <w:tcBorders>
              <w:bottom w:val="single" w:color="auto" w:sz="12" w:space="0"/>
            </w:tcBorders>
          </w:tcPr>
          <w:p>
            <w:pPr>
              <w:spacing w:line="400" w:lineRule="exact"/>
              <w:rPr>
                <w:rFonts w:hint="eastAsia" w:ascii="Arial" w:hAnsi="Arial" w:cs="Arial"/>
                <w:b/>
                <w:color w:val="auto"/>
                <w:szCs w:val="21"/>
                <w:highlight w:val="none"/>
                <w:u w:val="single"/>
                <w:shd w:val="clear" w:color="auto" w:fill="FFFFFF"/>
              </w:rPr>
            </w:pPr>
            <w:r>
              <w:rPr>
                <w:rFonts w:hint="eastAsia" w:ascii="宋体" w:hAnsi="宋体"/>
                <w:b/>
                <w:color w:val="auto"/>
                <w:szCs w:val="21"/>
                <w:highlight w:val="none"/>
                <w:u w:val="single"/>
                <w:lang w:val="en-US" w:eastAsia="zh-CN"/>
              </w:rPr>
              <w:t>1、</w:t>
            </w:r>
            <w:r>
              <w:rPr>
                <w:rFonts w:ascii="宋体" w:hAnsi="宋体"/>
                <w:b/>
                <w:color w:val="auto"/>
                <w:szCs w:val="21"/>
                <w:highlight w:val="none"/>
                <w:u w:val="single"/>
              </w:rPr>
              <w:t>投标人须具备</w:t>
            </w:r>
            <w:r>
              <w:rPr>
                <w:rFonts w:hint="eastAsia" w:ascii="宋体" w:hAnsi="宋体"/>
                <w:b/>
                <w:color w:val="auto"/>
                <w:szCs w:val="21"/>
                <w:highlight w:val="none"/>
                <w:u w:val="single"/>
              </w:rPr>
              <w:t>国内</w:t>
            </w:r>
            <w:r>
              <w:rPr>
                <w:rFonts w:ascii="宋体" w:hAnsi="宋体"/>
                <w:b/>
                <w:color w:val="auto"/>
                <w:szCs w:val="21"/>
                <w:highlight w:val="none"/>
                <w:u w:val="single"/>
              </w:rPr>
              <w:t>独立法人资格</w:t>
            </w:r>
            <w:r>
              <w:rPr>
                <w:rFonts w:hint="eastAsia" w:ascii="宋体" w:hAnsi="宋体"/>
                <w:b/>
                <w:color w:val="auto"/>
                <w:szCs w:val="21"/>
                <w:highlight w:val="none"/>
                <w:u w:val="single"/>
              </w:rPr>
              <w:t>、同时具备石油化工工程施工总承包二级及以上资质、</w:t>
            </w:r>
            <w:r>
              <w:rPr>
                <w:rFonts w:hint="eastAsia" w:ascii="宋体" w:hAnsi="宋体"/>
                <w:b/>
                <w:color w:val="auto"/>
                <w:szCs w:val="21"/>
                <w:highlight w:val="none"/>
                <w:u w:val="single"/>
                <w:lang w:eastAsia="zh-CN"/>
              </w:rPr>
              <w:t>消防设施工程专业承包一级</w:t>
            </w:r>
            <w:r>
              <w:rPr>
                <w:rFonts w:hint="eastAsia" w:ascii="宋体" w:hAnsi="宋体"/>
                <w:b/>
                <w:color w:val="auto"/>
                <w:szCs w:val="21"/>
                <w:highlight w:val="none"/>
                <w:u w:val="single"/>
              </w:rPr>
              <w:t>资质，类似</w:t>
            </w:r>
            <w:r>
              <w:rPr>
                <w:rFonts w:ascii="宋体" w:hAnsi="宋体"/>
                <w:b/>
                <w:color w:val="auto"/>
                <w:szCs w:val="21"/>
                <w:highlight w:val="none"/>
                <w:u w:val="single"/>
              </w:rPr>
              <w:t>业绩，</w:t>
            </w:r>
            <w:r>
              <w:rPr>
                <w:rFonts w:hint="eastAsia" w:ascii="宋体" w:hAnsi="宋体"/>
                <w:b/>
                <w:color w:val="auto"/>
                <w:szCs w:val="21"/>
                <w:highlight w:val="none"/>
                <w:u w:val="single"/>
              </w:rPr>
              <w:t>并</w:t>
            </w:r>
            <w:r>
              <w:rPr>
                <w:rFonts w:ascii="宋体" w:hAnsi="宋体"/>
                <w:b/>
                <w:color w:val="auto"/>
                <w:szCs w:val="21"/>
                <w:highlight w:val="none"/>
                <w:u w:val="single"/>
              </w:rPr>
              <w:t>在人员、设备、资金等方面</w:t>
            </w:r>
            <w:r>
              <w:rPr>
                <w:rFonts w:hint="eastAsia" w:ascii="宋体" w:hAnsi="宋体"/>
                <w:b/>
                <w:color w:val="auto"/>
                <w:szCs w:val="21"/>
                <w:highlight w:val="none"/>
                <w:u w:val="single"/>
              </w:rPr>
              <w:t>具有相应施工能力；未被“信用中国”网站（http://www.creditchina.gov.cn）列入失信惩戒对象、未被“信用中国（浙江）”网站（http://credit.zj.gov.cn）列入严重失信黑名单。</w:t>
            </w:r>
            <w:r>
              <w:rPr>
                <w:rFonts w:ascii="Arial" w:hAnsi="Arial" w:cs="Arial"/>
                <w:b/>
                <w:color w:val="auto"/>
                <w:szCs w:val="21"/>
                <w:highlight w:val="none"/>
                <w:u w:val="single"/>
                <w:shd w:val="clear" w:color="auto" w:fill="FFFFFF"/>
              </w:rPr>
              <w:t>省外企业备案相关手续按嘉建（2015）1号文件规定执行</w:t>
            </w:r>
            <w:r>
              <w:rPr>
                <w:rFonts w:hint="eastAsia" w:ascii="Arial" w:hAnsi="Arial" w:cs="Arial"/>
                <w:b/>
                <w:color w:val="auto"/>
                <w:szCs w:val="21"/>
                <w:highlight w:val="none"/>
                <w:u w:val="single"/>
                <w:shd w:val="clear" w:color="auto" w:fill="FFFFFF"/>
              </w:rPr>
              <w:t>。</w:t>
            </w:r>
          </w:p>
          <w:p>
            <w:pPr>
              <w:spacing w:line="360" w:lineRule="auto"/>
              <w:rPr>
                <w:rFonts w:hint="eastAsia"/>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本次招标</w:t>
            </w:r>
            <w:r>
              <w:rPr>
                <w:rFonts w:hint="eastAsia" w:ascii="宋体" w:hAnsi="宋体"/>
                <w:color w:val="auto"/>
                <w:szCs w:val="21"/>
                <w:highlight w:val="none"/>
                <w:u w:val="single"/>
              </w:rPr>
              <w:t>接受</w:t>
            </w:r>
            <w:r>
              <w:rPr>
                <w:rFonts w:hint="eastAsia" w:ascii="宋体" w:hAnsi="宋体"/>
                <w:color w:val="auto"/>
                <w:szCs w:val="21"/>
                <w:highlight w:val="none"/>
              </w:rPr>
              <w:t>联合体投标。</w:t>
            </w:r>
            <w:r>
              <w:rPr>
                <w:rFonts w:hint="eastAsia"/>
                <w:highlight w:val="none"/>
              </w:rPr>
              <w:t xml:space="preserve">联合体投标的应满足下列要求： </w:t>
            </w:r>
          </w:p>
          <w:p>
            <w:pPr>
              <w:pStyle w:val="3"/>
              <w:spacing w:line="360" w:lineRule="auto"/>
              <w:rPr>
                <w:rFonts w:hint="eastAsia" w:hAnsi="宋体"/>
                <w:highlight w:val="none"/>
              </w:rPr>
            </w:pPr>
            <w:r>
              <w:rPr>
                <w:rFonts w:hint="eastAsia" w:hAnsi="宋体"/>
                <w:highlight w:val="none"/>
                <w:lang w:val="en-US" w:eastAsia="zh-CN"/>
              </w:rPr>
              <w:t>2</w:t>
            </w:r>
            <w:r>
              <w:rPr>
                <w:rFonts w:hint="eastAsia" w:hAnsi="宋体"/>
                <w:highlight w:val="none"/>
              </w:rPr>
              <w:t>.1联合体牵头人及成员总数不得超过2家。联合体牵头人须具备石油化工工程施工总承包二级及以上资质。</w:t>
            </w:r>
          </w:p>
          <w:p>
            <w:pPr>
              <w:pStyle w:val="3"/>
              <w:spacing w:line="360" w:lineRule="auto"/>
              <w:rPr>
                <w:rFonts w:hint="eastAsia" w:hAnsi="宋体"/>
                <w:highlight w:val="none"/>
              </w:rPr>
            </w:pPr>
            <w:r>
              <w:rPr>
                <w:rFonts w:hint="eastAsia" w:hAnsi="宋体"/>
                <w:highlight w:val="none"/>
                <w:lang w:val="en-US" w:eastAsia="zh-CN"/>
              </w:rPr>
              <w:t>2</w:t>
            </w:r>
            <w:r>
              <w:rPr>
                <w:rFonts w:hint="eastAsia" w:hAnsi="宋体"/>
                <w:highlight w:val="none"/>
              </w:rPr>
              <w:t>.2联合体各成员单位共同签订的联合体协议，明确牵头人及其他成员单位各自的权利和义务以及应当承担的责任，同时载明联合体各成员单位的具体工作分工以及各自分工所占合同工作量的比例。</w:t>
            </w:r>
          </w:p>
          <w:p>
            <w:pPr>
              <w:spacing w:line="400" w:lineRule="exact"/>
              <w:rPr>
                <w:rFonts w:hint="eastAsia" w:ascii="Arial" w:hAnsi="Arial" w:cs="Arial"/>
                <w:b/>
                <w:color w:val="auto"/>
                <w:szCs w:val="21"/>
                <w:highlight w:val="none"/>
                <w:u w:val="single"/>
                <w:shd w:val="clear" w:color="auto" w:fill="FFFFFF"/>
              </w:rPr>
            </w:pPr>
            <w:r>
              <w:rPr>
                <w:rFonts w:hint="eastAsia"/>
                <w:highlight w:val="none"/>
                <w:lang w:val="en-US" w:eastAsia="zh-CN"/>
              </w:rPr>
              <w:t>2</w:t>
            </w:r>
            <w:r>
              <w:rPr>
                <w:rFonts w:hint="eastAsia"/>
                <w:highlight w:val="none"/>
              </w:rPr>
              <w:t>.3联合体各方签订联合体协议后，不得再以自己名义单独或者以其他联合体成员的名义投标。不同专业的单位组成的联合体，各单位只能承担各自资质类别及等级范围内的工程。</w:t>
            </w:r>
          </w:p>
        </w:tc>
      </w:tr>
    </w:tbl>
    <w:p>
      <w:pPr>
        <w:rPr>
          <w:rFonts w:ascii="宋体"/>
          <w:b/>
          <w:color w:val="auto"/>
          <w:highlight w:val="none"/>
        </w:rPr>
      </w:pPr>
    </w:p>
    <w:p>
      <w:pPr>
        <w:rPr>
          <w:rFonts w:ascii="宋体"/>
          <w:color w:val="auto"/>
          <w:highlight w:val="none"/>
        </w:rPr>
      </w:pP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注：浙江省外企业需提供有效期内的《省外企业进浙承接业务备案证明》复印件盖单位公章。</w:t>
      </w:r>
    </w:p>
    <w:p>
      <w:pPr>
        <w:rPr>
          <w:rFonts w:ascii="宋体"/>
          <w:color w:val="auto"/>
          <w:highlight w:val="none"/>
        </w:rPr>
      </w:pPr>
    </w:p>
    <w:p>
      <w:pPr>
        <w:rPr>
          <w:rFonts w:ascii="宋体"/>
          <w:color w:val="auto"/>
          <w:highlight w:val="none"/>
        </w:rPr>
      </w:pPr>
    </w:p>
    <w:p>
      <w:pPr>
        <w:rPr>
          <w:rFonts w:ascii="宋体"/>
          <w:color w:val="auto"/>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74" w:right="1418" w:bottom="1361" w:left="1418" w:header="964" w:footer="992" w:gutter="0"/>
          <w:cols w:space="720" w:num="1"/>
          <w:docGrid w:type="lines" w:linePitch="312" w:charSpace="0"/>
        </w:sectPr>
      </w:pPr>
    </w:p>
    <w:p>
      <w:pPr>
        <w:pStyle w:val="2"/>
        <w:spacing w:before="0" w:after="240" w:line="240" w:lineRule="auto"/>
        <w:jc w:val="center"/>
        <w:rPr>
          <w:rFonts w:ascii="黑体" w:hAnsi="黑体" w:eastAsia="黑体"/>
          <w:color w:val="auto"/>
          <w:highlight w:val="none"/>
        </w:rPr>
      </w:pPr>
      <w:bookmarkStart w:id="1" w:name="_Toc363291636"/>
      <w:bookmarkStart w:id="2" w:name="_Toc241637398"/>
      <w:bookmarkStart w:id="3" w:name="_Toc233423169"/>
      <w:bookmarkStart w:id="4" w:name="_Toc233429679"/>
      <w:bookmarkStart w:id="5" w:name="_Toc1535"/>
      <w:bookmarkStart w:id="6" w:name="_Toc233435896"/>
      <w:bookmarkStart w:id="7" w:name="_Toc8978"/>
      <w:r>
        <w:rPr>
          <w:rFonts w:hint="eastAsia" w:ascii="黑体" w:hAnsi="黑体" w:eastAsia="黑体"/>
          <w:color w:val="auto"/>
          <w:highlight w:val="none"/>
        </w:rPr>
        <w:t>附录</w:t>
      </w:r>
      <w:r>
        <w:rPr>
          <w:rFonts w:ascii="黑体" w:hAnsi="黑体" w:eastAsia="黑体"/>
          <w:color w:val="auto"/>
          <w:highlight w:val="none"/>
        </w:rPr>
        <w:t xml:space="preserve">2  </w:t>
      </w:r>
      <w:r>
        <w:rPr>
          <w:rFonts w:hint="eastAsia" w:ascii="黑体" w:hAnsi="黑体" w:eastAsia="黑体"/>
          <w:color w:val="auto"/>
          <w:highlight w:val="none"/>
        </w:rPr>
        <w:t>资格审查条件（财务最低要求）</w:t>
      </w:r>
      <w:bookmarkEnd w:id="1"/>
      <w:bookmarkEnd w:id="2"/>
      <w:bookmarkEnd w:id="3"/>
      <w:bookmarkEnd w:id="4"/>
      <w:bookmarkEnd w:id="5"/>
      <w:bookmarkEnd w:id="6"/>
      <w:bookmarkEnd w:id="7"/>
    </w:p>
    <w:tbl>
      <w:tblPr>
        <w:tblStyle w:val="6"/>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5"/>
        <w:gridCol w:w="70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7" w:hRule="atLeast"/>
        </w:trPr>
        <w:tc>
          <w:tcPr>
            <w:tcW w:w="1985" w:type="dxa"/>
            <w:tcBorders>
              <w:top w:val="single" w:color="auto" w:sz="12" w:space="0"/>
              <w:right w:val="single" w:color="auto" w:sz="4" w:space="0"/>
            </w:tcBorders>
            <w:vAlign w:val="center"/>
          </w:tcPr>
          <w:p>
            <w:pPr>
              <w:spacing w:before="156" w:beforeLines="50" w:after="156" w:afterLines="50" w:line="420" w:lineRule="exact"/>
              <w:jc w:val="center"/>
              <w:rPr>
                <w:rFonts w:ascii="宋体"/>
                <w:b/>
                <w:color w:val="auto"/>
                <w:szCs w:val="21"/>
                <w:highlight w:val="none"/>
              </w:rPr>
            </w:pPr>
            <w:r>
              <w:rPr>
                <w:rFonts w:hint="eastAsia" w:ascii="宋体" w:hAnsi="宋体"/>
                <w:b/>
                <w:color w:val="auto"/>
                <w:szCs w:val="21"/>
                <w:highlight w:val="none"/>
              </w:rPr>
              <w:t>标段</w:t>
            </w:r>
          </w:p>
        </w:tc>
        <w:tc>
          <w:tcPr>
            <w:tcW w:w="7086" w:type="dxa"/>
            <w:tcBorders>
              <w:top w:val="single" w:color="auto" w:sz="12" w:space="0"/>
              <w:left w:val="single" w:color="auto" w:sz="4" w:space="0"/>
            </w:tcBorders>
            <w:vAlign w:val="center"/>
          </w:tcPr>
          <w:p>
            <w:pPr>
              <w:spacing w:before="156" w:beforeLines="50" w:after="156" w:afterLines="50" w:line="420" w:lineRule="exact"/>
              <w:jc w:val="center"/>
              <w:rPr>
                <w:rFonts w:ascii="宋体"/>
                <w:b/>
                <w:color w:val="auto"/>
                <w:szCs w:val="21"/>
                <w:highlight w:val="none"/>
              </w:rPr>
            </w:pPr>
            <w:r>
              <w:rPr>
                <w:rFonts w:hint="eastAsia" w:ascii="宋体" w:hAnsi="宋体"/>
                <w:b/>
                <w:color w:val="auto"/>
                <w:szCs w:val="21"/>
                <w:highlight w:val="none"/>
              </w:rPr>
              <w:t>财务要求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31" w:hRule="atLeast"/>
        </w:trPr>
        <w:tc>
          <w:tcPr>
            <w:tcW w:w="1985" w:type="dxa"/>
            <w:tcBorders>
              <w:bottom w:val="single" w:color="auto" w:sz="12" w:space="0"/>
              <w:right w:val="single" w:color="auto" w:sz="4" w:space="0"/>
            </w:tcBorders>
          </w:tcPr>
          <w:p>
            <w:pPr>
              <w:rPr>
                <w:rFonts w:ascii="宋体"/>
                <w:b/>
                <w:color w:val="auto"/>
                <w:szCs w:val="21"/>
                <w:highlight w:val="none"/>
              </w:rPr>
            </w:pPr>
          </w:p>
          <w:p>
            <w:pPr>
              <w:spacing w:line="360" w:lineRule="auto"/>
              <w:ind w:left="420" w:leftChars="200" w:right="420" w:rightChars="200"/>
              <w:rPr>
                <w:rFonts w:hint="eastAsia" w:ascii="宋体" w:eastAsia="宋体"/>
                <w:b/>
                <w:color w:val="auto"/>
                <w:szCs w:val="21"/>
                <w:highlight w:val="none"/>
                <w:lang w:eastAsia="zh-CN"/>
              </w:rPr>
            </w:pPr>
            <w:r>
              <w:rPr>
                <w:rFonts w:hint="eastAsia" w:ascii="宋体" w:hAnsi="宋体"/>
                <w:b/>
                <w:color w:val="auto"/>
                <w:szCs w:val="21"/>
                <w:highlight w:val="none"/>
                <w:lang w:eastAsia="zh-CN"/>
              </w:rPr>
              <w:t>工艺安装标段</w:t>
            </w:r>
          </w:p>
        </w:tc>
        <w:tc>
          <w:tcPr>
            <w:tcW w:w="7086" w:type="dxa"/>
            <w:tcBorders>
              <w:left w:val="single" w:color="auto" w:sz="4" w:space="0"/>
              <w:bottom w:val="single" w:color="auto" w:sz="12" w:space="0"/>
            </w:tcBorders>
          </w:tcPr>
          <w:p>
            <w:pPr>
              <w:spacing w:line="360" w:lineRule="auto"/>
              <w:ind w:right="420" w:rightChars="200" w:firstLine="316" w:firstLineChars="150"/>
              <w:rPr>
                <w:rFonts w:ascii="宋体"/>
                <w:b/>
                <w:color w:val="auto"/>
                <w:szCs w:val="21"/>
                <w:highlight w:val="none"/>
              </w:rPr>
            </w:pPr>
            <w:r>
              <w:rPr>
                <w:rFonts w:hint="eastAsia" w:ascii="宋体" w:hAnsi="宋体"/>
                <w:b/>
                <w:color w:val="auto"/>
                <w:szCs w:val="21"/>
                <w:highlight w:val="none"/>
              </w:rPr>
              <w:t>承诺营运资金不少于</w:t>
            </w:r>
            <w:r>
              <w:rPr>
                <w:rFonts w:hint="eastAsia" w:ascii="宋体" w:hAnsi="宋体"/>
                <w:b/>
                <w:color w:val="auto"/>
                <w:szCs w:val="21"/>
                <w:highlight w:val="none"/>
                <w:lang w:val="en-US" w:eastAsia="zh-CN"/>
              </w:rPr>
              <w:t>2</w:t>
            </w:r>
            <w:r>
              <w:rPr>
                <w:rFonts w:hint="eastAsia" w:ascii="宋体" w:hAnsi="宋体"/>
                <w:b/>
                <w:color w:val="auto"/>
                <w:szCs w:val="21"/>
                <w:highlight w:val="none"/>
              </w:rPr>
              <w:t>0</w:t>
            </w:r>
            <w:r>
              <w:rPr>
                <w:rFonts w:ascii="宋体"/>
                <w:b/>
                <w:color w:val="auto"/>
                <w:szCs w:val="21"/>
                <w:highlight w:val="none"/>
              </w:rPr>
              <w:t>0</w:t>
            </w:r>
            <w:r>
              <w:rPr>
                <w:rFonts w:hint="eastAsia" w:ascii="宋体" w:hAnsi="宋体"/>
                <w:b/>
                <w:color w:val="auto"/>
                <w:szCs w:val="21"/>
                <w:highlight w:val="none"/>
              </w:rPr>
              <w:t>万元人民币（由投标人自行决定采用银行信贷证明或财务能力承诺书）。</w:t>
            </w:r>
          </w:p>
          <w:p>
            <w:pPr>
              <w:spacing w:line="360" w:lineRule="auto"/>
              <w:ind w:right="420" w:rightChars="200" w:firstLine="316" w:firstLineChars="150"/>
              <w:rPr>
                <w:rFonts w:ascii="宋体"/>
                <w:b/>
                <w:color w:val="auto"/>
                <w:szCs w:val="21"/>
                <w:highlight w:val="none"/>
              </w:rPr>
            </w:pPr>
            <w:r>
              <w:rPr>
                <w:rFonts w:hint="eastAsia" w:ascii="宋体" w:hAnsi="宋体"/>
                <w:b/>
                <w:color w:val="auto"/>
                <w:szCs w:val="21"/>
                <w:highlight w:val="none"/>
              </w:rPr>
              <w:t>若采用银行信贷证明，开具银行信贷证明的银行级别：</w:t>
            </w:r>
            <w:r>
              <w:rPr>
                <w:rFonts w:hint="eastAsia" w:ascii="宋体" w:hAnsi="宋体"/>
                <w:b/>
                <w:color w:val="auto"/>
                <w:szCs w:val="21"/>
                <w:highlight w:val="none"/>
                <w:u w:val="single"/>
              </w:rPr>
              <w:t>国有或股份制商业银行县（区、市）级及以上银行</w:t>
            </w:r>
            <w:r>
              <w:rPr>
                <w:rFonts w:hint="eastAsia" w:ascii="宋体" w:hAnsi="宋体"/>
                <w:b/>
                <w:color w:val="auto"/>
                <w:szCs w:val="21"/>
                <w:highlight w:val="none"/>
              </w:rPr>
              <w:t>。</w:t>
            </w:r>
          </w:p>
        </w:tc>
      </w:tr>
    </w:tbl>
    <w:p>
      <w:pPr>
        <w:rPr>
          <w:rFonts w:ascii="宋体"/>
          <w:b/>
          <w:color w:val="auto"/>
          <w:highlight w:val="none"/>
        </w:rPr>
        <w:sectPr>
          <w:pgSz w:w="11906" w:h="16838"/>
          <w:pgMar w:top="1474" w:right="1418" w:bottom="1361" w:left="1418" w:header="964" w:footer="992" w:gutter="0"/>
          <w:cols w:space="720" w:num="1"/>
          <w:docGrid w:type="lines" w:linePitch="312" w:charSpace="0"/>
        </w:sectPr>
      </w:pPr>
    </w:p>
    <w:p>
      <w:pPr>
        <w:pStyle w:val="2"/>
        <w:spacing w:before="0" w:after="240" w:line="240" w:lineRule="auto"/>
        <w:jc w:val="center"/>
        <w:rPr>
          <w:rFonts w:ascii="黑体" w:hAnsi="黑体" w:eastAsia="黑体"/>
          <w:color w:val="auto"/>
          <w:highlight w:val="none"/>
        </w:rPr>
      </w:pPr>
      <w:bookmarkStart w:id="8" w:name="_Toc233423170"/>
      <w:bookmarkStart w:id="9" w:name="_Toc21525"/>
      <w:bookmarkStart w:id="10" w:name="_Toc233435897"/>
      <w:bookmarkStart w:id="11" w:name="_Toc30988"/>
      <w:bookmarkStart w:id="12" w:name="_Toc233429680"/>
      <w:bookmarkStart w:id="13" w:name="_Toc363291637"/>
      <w:bookmarkStart w:id="14" w:name="_Toc241637399"/>
      <w:r>
        <w:rPr>
          <w:rFonts w:hint="eastAsia" w:ascii="黑体" w:hAnsi="黑体" w:eastAsia="黑体"/>
          <w:color w:val="auto"/>
          <w:highlight w:val="none"/>
        </w:rPr>
        <w:t>附录</w:t>
      </w:r>
      <w:r>
        <w:rPr>
          <w:rFonts w:ascii="黑体" w:hAnsi="黑体" w:eastAsia="黑体"/>
          <w:color w:val="auto"/>
          <w:highlight w:val="none"/>
        </w:rPr>
        <w:t xml:space="preserve">3  </w:t>
      </w:r>
      <w:r>
        <w:rPr>
          <w:rFonts w:hint="eastAsia" w:ascii="黑体" w:hAnsi="黑体" w:eastAsia="黑体"/>
          <w:color w:val="auto"/>
          <w:highlight w:val="none"/>
        </w:rPr>
        <w:t>资格审查条件（业绩最低要求）</w:t>
      </w:r>
      <w:bookmarkEnd w:id="8"/>
      <w:bookmarkEnd w:id="9"/>
      <w:bookmarkEnd w:id="10"/>
      <w:bookmarkEnd w:id="11"/>
      <w:bookmarkEnd w:id="12"/>
      <w:bookmarkEnd w:id="13"/>
      <w:bookmarkEnd w:id="14"/>
    </w:p>
    <w:tbl>
      <w:tblPr>
        <w:tblStyle w:val="6"/>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4"/>
        <w:gridCol w:w="79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7" w:hRule="atLeast"/>
        </w:trPr>
        <w:tc>
          <w:tcPr>
            <w:tcW w:w="1174" w:type="dxa"/>
            <w:tcBorders>
              <w:top w:val="single" w:color="auto" w:sz="12" w:space="0"/>
            </w:tcBorders>
            <w:vAlign w:val="center"/>
          </w:tcPr>
          <w:p>
            <w:pPr>
              <w:spacing w:before="156" w:beforeLines="50" w:after="156" w:afterLines="50" w:line="420" w:lineRule="exact"/>
              <w:jc w:val="center"/>
              <w:rPr>
                <w:rFonts w:ascii="宋体"/>
                <w:b/>
                <w:color w:val="auto"/>
                <w:highlight w:val="none"/>
              </w:rPr>
            </w:pPr>
            <w:r>
              <w:rPr>
                <w:rFonts w:hint="eastAsia" w:ascii="宋体" w:hAnsi="宋体"/>
                <w:b/>
                <w:color w:val="auto"/>
                <w:highlight w:val="none"/>
              </w:rPr>
              <w:t>标段</w:t>
            </w:r>
          </w:p>
        </w:tc>
        <w:tc>
          <w:tcPr>
            <w:tcW w:w="7950" w:type="dxa"/>
            <w:tcBorders>
              <w:top w:val="single" w:color="auto" w:sz="12" w:space="0"/>
            </w:tcBorders>
            <w:vAlign w:val="center"/>
          </w:tcPr>
          <w:p>
            <w:pPr>
              <w:spacing w:before="156" w:beforeLines="50" w:after="156" w:afterLines="50" w:line="420" w:lineRule="exact"/>
              <w:jc w:val="center"/>
              <w:rPr>
                <w:rFonts w:ascii="宋体"/>
                <w:b/>
                <w:color w:val="auto"/>
                <w:highlight w:val="none"/>
              </w:rPr>
            </w:pPr>
            <w:r>
              <w:rPr>
                <w:rFonts w:hint="eastAsia" w:ascii="宋体" w:hAnsi="宋体"/>
                <w:b/>
                <w:color w:val="auto"/>
                <w:highlight w:val="none"/>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4" w:hRule="atLeast"/>
        </w:trPr>
        <w:tc>
          <w:tcPr>
            <w:tcW w:w="1174" w:type="dxa"/>
            <w:tcBorders>
              <w:bottom w:val="single" w:color="auto" w:sz="12" w:space="0"/>
            </w:tcBorders>
          </w:tcPr>
          <w:p>
            <w:pPr>
              <w:rPr>
                <w:rFonts w:ascii="宋体"/>
                <w:b/>
                <w:color w:val="auto"/>
                <w:szCs w:val="21"/>
                <w:highlight w:val="none"/>
              </w:rPr>
            </w:pPr>
          </w:p>
          <w:p>
            <w:pPr>
              <w:spacing w:line="400" w:lineRule="exact"/>
              <w:jc w:val="center"/>
              <w:rPr>
                <w:rFonts w:hint="eastAsia" w:ascii="宋体" w:eastAsia="宋体"/>
                <w:b/>
                <w:color w:val="auto"/>
                <w:szCs w:val="21"/>
                <w:highlight w:val="none"/>
                <w:lang w:eastAsia="zh-CN"/>
              </w:rPr>
            </w:pPr>
            <w:r>
              <w:rPr>
                <w:rFonts w:hint="eastAsia" w:ascii="宋体" w:hAnsi="宋体"/>
                <w:b/>
                <w:color w:val="auto"/>
                <w:szCs w:val="21"/>
                <w:highlight w:val="none"/>
                <w:lang w:eastAsia="zh-CN"/>
              </w:rPr>
              <w:t>工艺安装标段</w:t>
            </w:r>
          </w:p>
        </w:tc>
        <w:tc>
          <w:tcPr>
            <w:tcW w:w="7950" w:type="dxa"/>
            <w:tcBorders>
              <w:bottom w:val="single" w:color="auto" w:sz="12" w:space="0"/>
            </w:tcBorders>
          </w:tcPr>
          <w:p>
            <w:pPr>
              <w:spacing w:line="360" w:lineRule="auto"/>
              <w:ind w:right="420" w:rightChars="200" w:firstLine="316" w:firstLineChars="150"/>
              <w:rPr>
                <w:rFonts w:ascii="宋体"/>
                <w:b/>
                <w:color w:val="auto"/>
                <w:szCs w:val="21"/>
                <w:highlight w:val="none"/>
              </w:rPr>
            </w:pPr>
            <w:r>
              <w:rPr>
                <w:rFonts w:hint="eastAsia" w:ascii="宋体" w:hAnsi="宋体"/>
                <w:b/>
                <w:color w:val="auto"/>
                <w:szCs w:val="21"/>
                <w:highlight w:val="none"/>
                <w:lang w:eastAsia="zh-CN"/>
              </w:rPr>
              <w:t>投标人（联合体投标的指联合体牵头人）</w:t>
            </w:r>
            <w:r>
              <w:rPr>
                <w:rFonts w:hint="eastAsia" w:ascii="宋体" w:hAnsi="宋体"/>
                <w:b/>
                <w:color w:val="auto"/>
                <w:szCs w:val="21"/>
                <w:highlight w:val="none"/>
              </w:rPr>
              <w:t>自2016年</w:t>
            </w:r>
            <w:r>
              <w:rPr>
                <w:rFonts w:hint="eastAsia" w:ascii="宋体" w:hAnsi="宋体"/>
                <w:b/>
                <w:color w:val="auto"/>
                <w:szCs w:val="21"/>
                <w:highlight w:val="none"/>
                <w:lang w:val="en-US" w:eastAsia="zh-CN"/>
              </w:rPr>
              <w:t>7</w:t>
            </w:r>
            <w:r>
              <w:rPr>
                <w:rFonts w:hint="eastAsia" w:ascii="宋体" w:hAnsi="宋体"/>
                <w:b/>
                <w:color w:val="auto"/>
                <w:szCs w:val="21"/>
                <w:highlight w:val="none"/>
              </w:rPr>
              <w:t>月1日（以实际验收日期为准）以来完成过液体化工泊位（油品泊位除外）的化工工艺管道安装施工业绩。</w:t>
            </w:r>
          </w:p>
        </w:tc>
      </w:tr>
    </w:tbl>
    <w:p>
      <w:pPr>
        <w:spacing w:line="400" w:lineRule="exact"/>
        <w:ind w:firstLine="420" w:firstLineChars="200"/>
        <w:jc w:val="left"/>
        <w:rPr>
          <w:rFonts w:ascii="宋体" w:hAnsi="宋体"/>
          <w:color w:val="auto"/>
          <w:sz w:val="18"/>
          <w:szCs w:val="18"/>
          <w:highlight w:val="none"/>
        </w:rPr>
      </w:pPr>
      <w:r>
        <w:rPr>
          <w:color w:val="auto"/>
          <w:highlight w:val="none"/>
        </w:rPr>
        <w:t>投标人应在</w:t>
      </w:r>
      <w:r>
        <w:rPr>
          <w:rFonts w:hint="eastAsia"/>
          <w:color w:val="auto"/>
          <w:highlight w:val="none"/>
        </w:rPr>
        <w:t>“</w:t>
      </w:r>
      <w:r>
        <w:rPr>
          <w:color w:val="auto"/>
          <w:highlight w:val="none"/>
        </w:rPr>
        <w:t>第</w:t>
      </w:r>
      <w:r>
        <w:rPr>
          <w:rFonts w:hint="eastAsia"/>
          <w:color w:val="auto"/>
          <w:highlight w:val="none"/>
          <w:lang w:eastAsia="zh-CN"/>
        </w:rPr>
        <w:t>七</w:t>
      </w:r>
      <w:r>
        <w:rPr>
          <w:color w:val="auto"/>
          <w:highlight w:val="none"/>
        </w:rPr>
        <w:t>章</w:t>
      </w:r>
      <w:r>
        <w:rPr>
          <w:rFonts w:hint="eastAsia"/>
          <w:color w:val="auto"/>
          <w:highlight w:val="none"/>
        </w:rPr>
        <w:t>投</w:t>
      </w:r>
      <w:r>
        <w:rPr>
          <w:color w:val="auto"/>
          <w:highlight w:val="none"/>
        </w:rPr>
        <w:t>标文件格式</w:t>
      </w:r>
      <w:r>
        <w:rPr>
          <w:rFonts w:hint="eastAsia"/>
          <w:color w:val="auto"/>
          <w:highlight w:val="none"/>
        </w:rPr>
        <w:t>”</w:t>
      </w:r>
      <w:r>
        <w:rPr>
          <w:color w:val="auto"/>
          <w:highlight w:val="none"/>
        </w:rPr>
        <w:t>的</w:t>
      </w:r>
      <w:r>
        <w:rPr>
          <w:rFonts w:hint="eastAsia"/>
          <w:color w:val="auto"/>
          <w:highlight w:val="none"/>
        </w:rPr>
        <w:t>“近年完成的主要类似项目情况表”后附：</w:t>
      </w:r>
      <w:r>
        <w:rPr>
          <w:rFonts w:hint="eastAsia" w:ascii="宋体" w:hAnsi="宋体"/>
          <w:color w:val="auto"/>
          <w:szCs w:val="21"/>
          <w:highlight w:val="none"/>
        </w:rPr>
        <w:t>（1）中标通知书复印件；</w:t>
      </w:r>
      <w:r>
        <w:rPr>
          <w:rFonts w:hint="eastAsia"/>
          <w:color w:val="auto"/>
          <w:highlight w:val="none"/>
        </w:rPr>
        <w:t>（2）合同协议书（包含联合体合同协议书）复印件；（3）质量证明文件（质量验收证明或竣工验收证明）的复印件；（4）</w:t>
      </w:r>
      <w:r>
        <w:rPr>
          <w:rFonts w:hint="eastAsia" w:ascii="宋体" w:hAnsi="宋体"/>
          <w:color w:val="auto"/>
          <w:szCs w:val="21"/>
          <w:highlight w:val="none"/>
        </w:rPr>
        <w:t>施工合同履行过程中承发包双方的往来任意一张款项的发票（发票编号必须清晰可辨）复印件，上述材料</w:t>
      </w:r>
      <w:r>
        <w:rPr>
          <w:rFonts w:hint="eastAsia"/>
          <w:color w:val="auto"/>
          <w:highlight w:val="none"/>
        </w:rPr>
        <w:t>缺一不可，否则业绩不予认可。每张表格只填写一个项目，并标明序号。业绩证明文件复印件装订在投标文件中，</w:t>
      </w:r>
      <w:r>
        <w:rPr>
          <w:rFonts w:hint="eastAsia" w:ascii="宋体" w:hAnsi="宋体"/>
          <w:color w:val="auto"/>
          <w:szCs w:val="21"/>
          <w:highlight w:val="none"/>
        </w:rPr>
        <w:t>投标人提供的业绩证明等材料必须真实有效。</w:t>
      </w:r>
    </w:p>
    <w:p>
      <w:pPr>
        <w:spacing w:line="270" w:lineRule="exact"/>
        <w:ind w:firstLine="420" w:firstLineChars="200"/>
        <w:rPr>
          <w:color w:val="auto"/>
          <w:highlight w:val="none"/>
        </w:rPr>
      </w:pPr>
      <w:r>
        <w:rPr>
          <w:rFonts w:hint="eastAsia"/>
          <w:color w:val="auto"/>
          <w:highlight w:val="none"/>
        </w:rPr>
        <w:t>上述资料中的施工单位名称与投标人名称必须一致（施工单位名称发生合法变更的除外，但需提供合法变更的有效文件）否则业绩不予认可。</w:t>
      </w:r>
    </w:p>
    <w:p>
      <w:pPr>
        <w:spacing w:line="270" w:lineRule="exact"/>
        <w:ind w:firstLine="420" w:firstLineChars="200"/>
        <w:rPr>
          <w:color w:val="auto"/>
          <w:highlight w:val="none"/>
        </w:rPr>
      </w:pPr>
      <w:r>
        <w:rPr>
          <w:rFonts w:hint="eastAsia"/>
          <w:color w:val="auto"/>
          <w:highlight w:val="none"/>
        </w:rPr>
        <w:t>工程规模解释顺序：质量证明文件、合同协议书、中标通知书，如上述资料中均未体现工程规模、技术标准、主要工程内容的，必须附发包人或项目质量监督部门或项目所在地设区市行业主管部门出具的证明材料，否则业绩不予认可。</w:t>
      </w:r>
    </w:p>
    <w:p>
      <w:pPr>
        <w:ind w:firstLine="422" w:firstLineChars="200"/>
        <w:rPr>
          <w:rFonts w:ascii="宋体" w:hAnsi="宋体"/>
          <w:b/>
          <w:color w:val="auto"/>
          <w:highlight w:val="none"/>
        </w:rPr>
      </w:pPr>
    </w:p>
    <w:p>
      <w:pPr>
        <w:ind w:firstLine="422" w:firstLineChars="200"/>
        <w:rPr>
          <w:rFonts w:ascii="宋体" w:hAnsi="宋体"/>
          <w:b/>
          <w:color w:val="auto"/>
          <w:highlight w:val="none"/>
        </w:rPr>
        <w:sectPr>
          <w:footerReference r:id="rId9" w:type="default"/>
          <w:footerReference r:id="rId10" w:type="even"/>
          <w:pgSz w:w="11906" w:h="16838"/>
          <w:pgMar w:top="1474" w:right="1418" w:bottom="1361" w:left="1418" w:header="964" w:footer="992" w:gutter="0"/>
          <w:cols w:space="720" w:num="1"/>
          <w:docGrid w:type="lines" w:linePitch="312" w:charSpace="0"/>
        </w:sectPr>
      </w:pPr>
      <w:r>
        <w:rPr>
          <w:rFonts w:hint="eastAsia" w:ascii="宋体" w:hAnsi="宋体"/>
          <w:b/>
          <w:color w:val="auto"/>
          <w:highlight w:val="none"/>
        </w:rPr>
        <w:t>本招标文件中液体化工包含低温液化烃，油品泊位指全部由油品输送管道组成的油品专用泊位。</w:t>
      </w:r>
    </w:p>
    <w:p>
      <w:pPr>
        <w:pStyle w:val="2"/>
        <w:spacing w:before="0" w:after="240" w:line="240" w:lineRule="auto"/>
        <w:jc w:val="center"/>
        <w:rPr>
          <w:rFonts w:ascii="黑体" w:hAnsi="黑体" w:eastAsia="黑体"/>
          <w:color w:val="auto"/>
          <w:highlight w:val="none"/>
        </w:rPr>
      </w:pPr>
      <w:bookmarkStart w:id="15" w:name="_Toc233423171"/>
      <w:bookmarkStart w:id="16" w:name="_Toc233435898"/>
      <w:bookmarkStart w:id="17" w:name="_Toc233429681"/>
      <w:bookmarkStart w:id="18" w:name="_Toc241637400"/>
      <w:bookmarkStart w:id="19" w:name="_Toc363291638"/>
      <w:bookmarkStart w:id="20" w:name="_Toc21061"/>
      <w:bookmarkStart w:id="21" w:name="_Toc634"/>
      <w:r>
        <w:rPr>
          <w:rFonts w:hint="eastAsia" w:ascii="黑体" w:hAnsi="黑体" w:eastAsia="黑体"/>
          <w:color w:val="auto"/>
          <w:highlight w:val="none"/>
        </w:rPr>
        <w:t>附录</w:t>
      </w:r>
      <w:r>
        <w:rPr>
          <w:rFonts w:ascii="黑体" w:hAnsi="黑体" w:eastAsia="黑体"/>
          <w:color w:val="auto"/>
          <w:highlight w:val="none"/>
        </w:rPr>
        <w:t xml:space="preserve">4  </w:t>
      </w:r>
      <w:r>
        <w:rPr>
          <w:rFonts w:hint="eastAsia" w:ascii="黑体" w:hAnsi="黑体" w:eastAsia="黑体"/>
          <w:color w:val="auto"/>
          <w:highlight w:val="none"/>
        </w:rPr>
        <w:t>资格审查条件（信誉最低要求）</w:t>
      </w:r>
      <w:bookmarkEnd w:id="15"/>
      <w:bookmarkEnd w:id="16"/>
      <w:bookmarkEnd w:id="17"/>
      <w:bookmarkEnd w:id="18"/>
      <w:bookmarkEnd w:id="19"/>
      <w:bookmarkEnd w:id="20"/>
      <w:bookmarkEnd w:id="21"/>
    </w:p>
    <w:p>
      <w:pPr>
        <w:adjustRightInd w:val="0"/>
        <w:snapToGrid w:val="0"/>
        <w:spacing w:line="300" w:lineRule="auto"/>
        <w:jc w:val="center"/>
        <w:rPr>
          <w:rFonts w:eastAsia="黑体"/>
          <w:b/>
          <w:color w:val="auto"/>
          <w:sz w:val="28"/>
          <w:szCs w:val="28"/>
          <w:highlight w:val="none"/>
        </w:rPr>
      </w:pPr>
      <w:bookmarkStart w:id="22" w:name="_Toc233429682"/>
      <w:bookmarkStart w:id="23" w:name="_Toc233423172"/>
      <w:bookmarkStart w:id="24" w:name="_Toc16845"/>
      <w:bookmarkStart w:id="25" w:name="_Toc22728"/>
      <w:bookmarkStart w:id="26" w:name="_Toc233435899"/>
      <w:bookmarkStart w:id="27" w:name="_Toc241637401"/>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878"/>
        <w:gridCol w:w="700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76" w:hRule="atLeast"/>
          <w:jc w:val="center"/>
        </w:trPr>
        <w:tc>
          <w:tcPr>
            <w:tcW w:w="1878" w:type="dxa"/>
            <w:tcBorders>
              <w:top w:val="single" w:color="auto" w:sz="12" w:space="0"/>
            </w:tcBorders>
            <w:vAlign w:val="center"/>
          </w:tcPr>
          <w:p>
            <w:pPr>
              <w:adjustRightInd w:val="0"/>
              <w:snapToGrid w:val="0"/>
              <w:spacing w:line="400" w:lineRule="atLeast"/>
              <w:jc w:val="center"/>
              <w:rPr>
                <w:b/>
                <w:color w:val="auto"/>
                <w:sz w:val="24"/>
                <w:highlight w:val="none"/>
              </w:rPr>
            </w:pPr>
            <w:r>
              <w:rPr>
                <w:rFonts w:hint="eastAsia"/>
                <w:b/>
                <w:color w:val="auto"/>
                <w:sz w:val="24"/>
                <w:highlight w:val="none"/>
              </w:rPr>
              <w:t>标段</w:t>
            </w:r>
          </w:p>
        </w:tc>
        <w:tc>
          <w:tcPr>
            <w:tcW w:w="7007" w:type="dxa"/>
            <w:tcBorders>
              <w:top w:val="single" w:color="auto" w:sz="12" w:space="0"/>
            </w:tcBorders>
            <w:vAlign w:val="center"/>
          </w:tcPr>
          <w:p>
            <w:pPr>
              <w:adjustRightInd w:val="0"/>
              <w:snapToGrid w:val="0"/>
              <w:spacing w:line="400" w:lineRule="atLeast"/>
              <w:jc w:val="center"/>
              <w:rPr>
                <w:b/>
                <w:color w:val="auto"/>
                <w:sz w:val="24"/>
                <w:highlight w:val="none"/>
              </w:rPr>
            </w:pPr>
            <w:r>
              <w:rPr>
                <w:rFonts w:hint="eastAsia"/>
                <w:b/>
                <w:color w:val="auto"/>
                <w:sz w:val="24"/>
                <w:highlight w:val="none"/>
              </w:rPr>
              <w:t>信誉要求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100" w:hRule="atLeast"/>
          <w:jc w:val="center"/>
        </w:trPr>
        <w:tc>
          <w:tcPr>
            <w:tcW w:w="1878" w:type="dxa"/>
            <w:tcBorders>
              <w:bottom w:val="single" w:color="auto" w:sz="12" w:space="0"/>
            </w:tcBorders>
            <w:vAlign w:val="center"/>
          </w:tcPr>
          <w:p>
            <w:pPr>
              <w:jc w:val="center"/>
              <w:rPr>
                <w:rFonts w:ascii="宋体"/>
                <w:b/>
                <w:color w:val="auto"/>
                <w:sz w:val="24"/>
                <w:highlight w:val="none"/>
              </w:rPr>
            </w:pPr>
            <w:r>
              <w:rPr>
                <w:rFonts w:hint="eastAsia" w:ascii="宋体" w:hAnsi="宋体"/>
                <w:b/>
                <w:color w:val="auto"/>
                <w:sz w:val="24"/>
                <w:highlight w:val="none"/>
              </w:rPr>
              <w:t>工艺</w:t>
            </w:r>
            <w:r>
              <w:rPr>
                <w:rFonts w:hint="eastAsia" w:ascii="宋体" w:hAnsi="宋体"/>
                <w:b/>
                <w:color w:val="auto"/>
                <w:sz w:val="24"/>
                <w:highlight w:val="none"/>
                <w:lang w:eastAsia="zh-CN"/>
              </w:rPr>
              <w:t>安装</w:t>
            </w:r>
            <w:r>
              <w:rPr>
                <w:rFonts w:hint="eastAsia" w:ascii="宋体" w:hAnsi="宋体"/>
                <w:b/>
                <w:color w:val="auto"/>
                <w:sz w:val="24"/>
                <w:highlight w:val="none"/>
              </w:rPr>
              <w:t>标段</w:t>
            </w:r>
          </w:p>
        </w:tc>
        <w:tc>
          <w:tcPr>
            <w:tcW w:w="7007" w:type="dxa"/>
            <w:tcBorders>
              <w:bottom w:val="single" w:color="auto" w:sz="12" w:space="0"/>
            </w:tcBorders>
            <w:vAlign w:val="center"/>
          </w:tcPr>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1、不存在投标人须知第1.4.3项的情形。</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2、自201</w:t>
            </w:r>
            <w:r>
              <w:rPr>
                <w:rFonts w:ascii="宋体" w:hAnsi="宋体"/>
                <w:b/>
                <w:color w:val="auto"/>
                <w:szCs w:val="21"/>
                <w:highlight w:val="none"/>
              </w:rPr>
              <w:t>8</w:t>
            </w:r>
            <w:r>
              <w:rPr>
                <w:rFonts w:hint="eastAsia" w:ascii="宋体" w:hAnsi="宋体"/>
                <w:b/>
                <w:color w:val="auto"/>
                <w:szCs w:val="21"/>
                <w:highlight w:val="none"/>
              </w:rPr>
              <w:t>年</w:t>
            </w:r>
            <w:r>
              <w:rPr>
                <w:rFonts w:hint="eastAsia" w:ascii="宋体" w:hAnsi="宋体"/>
                <w:b/>
                <w:color w:val="auto"/>
                <w:szCs w:val="21"/>
                <w:highlight w:val="none"/>
                <w:lang w:val="en-US" w:eastAsia="zh-CN"/>
              </w:rPr>
              <w:t>7</w:t>
            </w:r>
            <w:r>
              <w:rPr>
                <w:rFonts w:hint="eastAsia" w:ascii="宋体" w:hAnsi="宋体"/>
                <w:b/>
                <w:color w:val="auto"/>
                <w:szCs w:val="21"/>
                <w:highlight w:val="none"/>
              </w:rPr>
              <w:t>月1日以来，投标人无行贿犯罪行为。</w:t>
            </w:r>
          </w:p>
          <w:p>
            <w:pPr>
              <w:spacing w:line="360" w:lineRule="auto"/>
              <w:ind w:firstLine="482" w:firstLineChars="200"/>
              <w:rPr>
                <w:rFonts w:ascii="宋体"/>
                <w:b/>
                <w:color w:val="auto"/>
                <w:sz w:val="24"/>
                <w:highlight w:val="none"/>
              </w:rPr>
            </w:pPr>
          </w:p>
        </w:tc>
      </w:tr>
    </w:tbl>
    <w:p>
      <w:pPr>
        <w:spacing w:line="400" w:lineRule="exact"/>
        <w:rPr>
          <w:rFonts w:ascii="宋体" w:hAnsi="宋体"/>
          <w:b/>
          <w:i/>
          <w:color w:val="auto"/>
          <w:highlight w:val="none"/>
        </w:rPr>
      </w:pPr>
      <w:r>
        <w:rPr>
          <w:rFonts w:hint="eastAsia" w:ascii="宋体" w:hAnsi="宋体"/>
          <w:b/>
          <w:color w:val="auto"/>
          <w:szCs w:val="21"/>
          <w:highlight w:val="none"/>
        </w:rPr>
        <w:t>注：投标人有行贿犯罪行为的认定以中国裁判文书网的行贿受贿犯罪档案查询结果为准。（</w:t>
      </w:r>
      <w:r>
        <w:rPr>
          <w:rFonts w:ascii="宋体" w:hAnsi="宋体"/>
          <w:b/>
          <w:color w:val="auto"/>
          <w:szCs w:val="21"/>
          <w:highlight w:val="none"/>
        </w:rPr>
        <w:t>投标人无须提供，由招标人</w:t>
      </w:r>
      <w:r>
        <w:rPr>
          <w:rFonts w:hint="eastAsia" w:ascii="宋体" w:hAnsi="宋体"/>
          <w:b/>
          <w:color w:val="auto"/>
          <w:szCs w:val="21"/>
          <w:highlight w:val="none"/>
        </w:rPr>
        <w:t>在公示期间对公示的推荐中标候选人通过中国裁判文书网进行行贿犯罪查询）</w:t>
      </w:r>
      <w:r>
        <w:rPr>
          <w:rFonts w:ascii="宋体" w:hAnsi="宋体"/>
          <w:b/>
          <w:color w:val="auto"/>
          <w:szCs w:val="21"/>
          <w:highlight w:val="none"/>
        </w:rPr>
        <w:t>。</w:t>
      </w:r>
    </w:p>
    <w:p>
      <w:pPr>
        <w:spacing w:line="400" w:lineRule="exact"/>
        <w:rPr>
          <w:rFonts w:ascii="宋体" w:hAnsi="宋体"/>
          <w:b/>
          <w:color w:val="auto"/>
          <w:highlight w:val="none"/>
        </w:rPr>
      </w:pPr>
    </w:p>
    <w:p>
      <w:pPr>
        <w:spacing w:line="400" w:lineRule="exact"/>
        <w:rPr>
          <w:rFonts w:ascii="宋体"/>
          <w:b/>
          <w:color w:val="auto"/>
          <w:highlight w:val="none"/>
        </w:rPr>
      </w:pPr>
    </w:p>
    <w:p>
      <w:pPr>
        <w:spacing w:line="400" w:lineRule="exact"/>
        <w:rPr>
          <w:rFonts w:ascii="宋体"/>
          <w:b/>
          <w:color w:val="auto"/>
          <w:highlight w:val="none"/>
        </w:rPr>
      </w:pPr>
    </w:p>
    <w:p>
      <w:pPr>
        <w:spacing w:line="400" w:lineRule="exact"/>
        <w:rPr>
          <w:rFonts w:ascii="宋体"/>
          <w:b/>
          <w:color w:val="auto"/>
          <w:highlight w:val="none"/>
        </w:rPr>
      </w:pPr>
    </w:p>
    <w:p>
      <w:pPr>
        <w:spacing w:line="400" w:lineRule="exact"/>
        <w:rPr>
          <w:rFonts w:ascii="宋体"/>
          <w:b/>
          <w:color w:val="auto"/>
          <w:highlight w:val="none"/>
        </w:rPr>
      </w:pPr>
    </w:p>
    <w:p>
      <w:pPr>
        <w:spacing w:line="400" w:lineRule="exact"/>
        <w:rPr>
          <w:rFonts w:ascii="宋体"/>
          <w:b/>
          <w:color w:val="auto"/>
          <w:highlight w:val="none"/>
        </w:rPr>
      </w:pPr>
    </w:p>
    <w:p>
      <w:pPr>
        <w:spacing w:line="400" w:lineRule="exact"/>
        <w:rPr>
          <w:rFonts w:ascii="宋体"/>
          <w:b/>
          <w:color w:val="auto"/>
          <w:highlight w:val="none"/>
        </w:rPr>
      </w:pPr>
    </w:p>
    <w:p>
      <w:pPr>
        <w:spacing w:line="400" w:lineRule="exact"/>
        <w:rPr>
          <w:rFonts w:ascii="宋体"/>
          <w:b/>
          <w:color w:val="auto"/>
          <w:highlight w:val="none"/>
        </w:rPr>
      </w:pPr>
    </w:p>
    <w:p>
      <w:pPr>
        <w:spacing w:line="400" w:lineRule="exact"/>
        <w:rPr>
          <w:rFonts w:ascii="宋体"/>
          <w:b/>
          <w:color w:val="auto"/>
          <w:highlight w:val="none"/>
        </w:rPr>
      </w:pPr>
    </w:p>
    <w:p>
      <w:pPr>
        <w:spacing w:line="400" w:lineRule="exact"/>
        <w:rPr>
          <w:rFonts w:ascii="宋体"/>
          <w:b/>
          <w:color w:val="auto"/>
          <w:highlight w:val="none"/>
        </w:rPr>
      </w:pPr>
    </w:p>
    <w:p>
      <w:pPr>
        <w:spacing w:line="400" w:lineRule="exact"/>
        <w:rPr>
          <w:rFonts w:ascii="宋体"/>
          <w:b/>
          <w:color w:val="auto"/>
          <w:highlight w:val="none"/>
        </w:rPr>
      </w:pPr>
    </w:p>
    <w:p>
      <w:pPr>
        <w:spacing w:line="400" w:lineRule="exact"/>
        <w:rPr>
          <w:rFonts w:ascii="宋体"/>
          <w:b/>
          <w:color w:val="auto"/>
          <w:highlight w:val="none"/>
        </w:rPr>
      </w:pPr>
    </w:p>
    <w:p>
      <w:pPr>
        <w:spacing w:line="400" w:lineRule="exact"/>
        <w:rPr>
          <w:rFonts w:ascii="宋体"/>
          <w:b/>
          <w:color w:val="auto"/>
          <w:highlight w:val="none"/>
        </w:rPr>
      </w:pPr>
    </w:p>
    <w:p>
      <w:pPr>
        <w:spacing w:line="400" w:lineRule="exact"/>
        <w:rPr>
          <w:rFonts w:ascii="宋体"/>
          <w:b/>
          <w:color w:val="auto"/>
          <w:highlight w:val="none"/>
        </w:rPr>
      </w:pPr>
    </w:p>
    <w:p>
      <w:pPr>
        <w:spacing w:line="400" w:lineRule="exact"/>
        <w:rPr>
          <w:rFonts w:ascii="宋体"/>
          <w:b/>
          <w:color w:val="auto"/>
          <w:highlight w:val="none"/>
        </w:rPr>
      </w:pPr>
    </w:p>
    <w:p>
      <w:pPr>
        <w:spacing w:line="400" w:lineRule="exact"/>
        <w:rPr>
          <w:rFonts w:ascii="宋体"/>
          <w:b/>
          <w:color w:val="auto"/>
          <w:highlight w:val="none"/>
        </w:rPr>
      </w:pPr>
    </w:p>
    <w:p>
      <w:pPr>
        <w:pStyle w:val="2"/>
        <w:spacing w:before="0" w:after="240" w:line="240" w:lineRule="auto"/>
        <w:jc w:val="left"/>
        <w:rPr>
          <w:rFonts w:ascii="黑体" w:hAnsi="黑体" w:eastAsia="黑体"/>
          <w:color w:val="auto"/>
          <w:highlight w:val="none"/>
        </w:rPr>
      </w:pPr>
      <w:bookmarkStart w:id="28" w:name="_Toc363291639"/>
      <w:r>
        <w:rPr>
          <w:rFonts w:hint="eastAsia" w:ascii="黑体" w:hAnsi="黑体" w:eastAsia="黑体"/>
          <w:color w:val="auto"/>
          <w:highlight w:val="none"/>
        </w:rPr>
        <w:t>附录</w:t>
      </w:r>
      <w:r>
        <w:rPr>
          <w:rFonts w:ascii="黑体" w:hAnsi="黑体" w:eastAsia="黑体"/>
          <w:color w:val="auto"/>
          <w:highlight w:val="none"/>
        </w:rPr>
        <w:t xml:space="preserve">5  </w:t>
      </w:r>
      <w:r>
        <w:rPr>
          <w:rFonts w:hint="eastAsia" w:ascii="黑体" w:hAnsi="黑体" w:eastAsia="黑体"/>
          <w:color w:val="auto"/>
          <w:highlight w:val="none"/>
        </w:rPr>
        <w:t>资格审查条件</w:t>
      </w:r>
    </w:p>
    <w:p>
      <w:pPr>
        <w:pStyle w:val="2"/>
        <w:spacing w:before="0" w:after="240" w:line="240" w:lineRule="auto"/>
        <w:jc w:val="center"/>
        <w:rPr>
          <w:rFonts w:ascii="黑体" w:hAnsi="黑体" w:eastAsia="黑体"/>
          <w:color w:val="auto"/>
          <w:highlight w:val="none"/>
        </w:rPr>
      </w:pPr>
      <w:r>
        <w:rPr>
          <w:rFonts w:hint="eastAsia" w:ascii="黑体" w:hAnsi="黑体" w:eastAsia="黑体"/>
          <w:color w:val="auto"/>
          <w:highlight w:val="none"/>
        </w:rPr>
        <w:t>（项目经理、项目技术负责人最低要求）</w:t>
      </w:r>
      <w:bookmarkEnd w:id="22"/>
      <w:bookmarkEnd w:id="23"/>
      <w:bookmarkEnd w:id="24"/>
      <w:bookmarkEnd w:id="25"/>
      <w:bookmarkEnd w:id="26"/>
      <w:bookmarkEnd w:id="27"/>
      <w:bookmarkEnd w:id="28"/>
    </w:p>
    <w:tbl>
      <w:tblPr>
        <w:tblStyle w:val="6"/>
        <w:tblpPr w:leftFromText="180" w:rightFromText="180" w:vertAnchor="text" w:horzAnchor="margin" w:tblpY="1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92"/>
        <w:gridCol w:w="1224"/>
        <w:gridCol w:w="59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 w:hRule="atLeast"/>
        </w:trPr>
        <w:tc>
          <w:tcPr>
            <w:tcW w:w="2092" w:type="dxa"/>
            <w:tcBorders>
              <w:top w:val="single" w:color="auto" w:sz="12" w:space="0"/>
              <w:right w:val="single" w:color="auto" w:sz="4" w:space="0"/>
            </w:tcBorders>
            <w:vAlign w:val="center"/>
          </w:tcPr>
          <w:p>
            <w:pPr>
              <w:spacing w:before="156" w:beforeLines="50" w:after="156" w:afterLines="50" w:line="420" w:lineRule="exact"/>
              <w:jc w:val="center"/>
              <w:rPr>
                <w:rFonts w:ascii="宋体"/>
                <w:b/>
                <w:color w:val="auto"/>
                <w:highlight w:val="none"/>
              </w:rPr>
            </w:pPr>
            <w:r>
              <w:rPr>
                <w:rFonts w:hint="eastAsia" w:ascii="宋体" w:hAnsi="宋体"/>
                <w:b/>
                <w:color w:val="auto"/>
                <w:highlight w:val="none"/>
              </w:rPr>
              <w:t>人员</w:t>
            </w:r>
          </w:p>
        </w:tc>
        <w:tc>
          <w:tcPr>
            <w:tcW w:w="1224" w:type="dxa"/>
            <w:tcBorders>
              <w:top w:val="single" w:color="auto" w:sz="12" w:space="0"/>
              <w:left w:val="single" w:color="auto" w:sz="4" w:space="0"/>
              <w:right w:val="single" w:color="auto" w:sz="4" w:space="0"/>
            </w:tcBorders>
            <w:vAlign w:val="center"/>
          </w:tcPr>
          <w:p>
            <w:pPr>
              <w:spacing w:before="156" w:beforeLines="50" w:after="156" w:afterLines="50" w:line="420" w:lineRule="exact"/>
              <w:jc w:val="center"/>
              <w:rPr>
                <w:rFonts w:ascii="宋体"/>
                <w:b/>
                <w:color w:val="auto"/>
                <w:highlight w:val="none"/>
              </w:rPr>
            </w:pPr>
            <w:r>
              <w:rPr>
                <w:rFonts w:hint="eastAsia" w:ascii="宋体" w:hAnsi="宋体"/>
                <w:b/>
                <w:color w:val="auto"/>
                <w:highlight w:val="none"/>
              </w:rPr>
              <w:t>数量</w:t>
            </w:r>
          </w:p>
        </w:tc>
        <w:tc>
          <w:tcPr>
            <w:tcW w:w="5967" w:type="dxa"/>
            <w:tcBorders>
              <w:top w:val="single" w:color="auto" w:sz="12" w:space="0"/>
              <w:left w:val="single" w:color="auto" w:sz="4" w:space="0"/>
            </w:tcBorders>
            <w:vAlign w:val="center"/>
          </w:tcPr>
          <w:p>
            <w:pPr>
              <w:spacing w:before="156" w:beforeLines="50" w:after="156" w:afterLines="50" w:line="420" w:lineRule="exact"/>
              <w:jc w:val="center"/>
              <w:rPr>
                <w:rFonts w:ascii="宋体"/>
                <w:b/>
                <w:color w:val="auto"/>
                <w:highlight w:val="none"/>
              </w:rPr>
            </w:pPr>
            <w:r>
              <w:rPr>
                <w:rFonts w:hint="eastAsia" w:ascii="宋体" w:hAnsi="宋体"/>
                <w:b/>
                <w:color w:val="auto"/>
                <w:highlight w:val="none"/>
              </w:rPr>
              <w:t>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3" w:hRule="atLeast"/>
        </w:trPr>
        <w:tc>
          <w:tcPr>
            <w:tcW w:w="2092" w:type="dxa"/>
            <w:tcBorders>
              <w:bottom w:val="single" w:color="auto" w:sz="4" w:space="0"/>
              <w:right w:val="single" w:color="auto" w:sz="4" w:space="0"/>
            </w:tcBorders>
            <w:vAlign w:val="center"/>
          </w:tcPr>
          <w:p>
            <w:pPr>
              <w:jc w:val="center"/>
              <w:rPr>
                <w:rFonts w:ascii="宋体"/>
                <w:b/>
                <w:color w:val="auto"/>
                <w:szCs w:val="21"/>
                <w:highlight w:val="none"/>
              </w:rPr>
            </w:pPr>
            <w:r>
              <w:rPr>
                <w:rFonts w:hint="eastAsia" w:ascii="宋体" w:hAnsi="宋体"/>
                <w:b/>
                <w:color w:val="auto"/>
                <w:szCs w:val="21"/>
                <w:highlight w:val="none"/>
              </w:rPr>
              <w:t>项目经理</w:t>
            </w:r>
          </w:p>
        </w:tc>
        <w:tc>
          <w:tcPr>
            <w:tcW w:w="1224" w:type="dxa"/>
            <w:tcBorders>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ascii="宋体" w:hAnsi="宋体"/>
                <w:b/>
                <w:color w:val="auto"/>
                <w:szCs w:val="21"/>
                <w:highlight w:val="none"/>
              </w:rPr>
              <w:t>1</w:t>
            </w:r>
          </w:p>
        </w:tc>
        <w:tc>
          <w:tcPr>
            <w:tcW w:w="5967" w:type="dxa"/>
            <w:tcBorders>
              <w:left w:val="single" w:color="auto" w:sz="4" w:space="0"/>
            </w:tcBorders>
            <w:vAlign w:val="center"/>
          </w:tcPr>
          <w:p>
            <w:pPr>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担任过液体化工泊位（油品泊位除外）的化工工艺管道安装施工项目的项目经理（或项目副经理或项目技术负责人），有机电工程专业二级及以上建造师注册证书，并有建筑施工企业项目负责人安全生产考核合格证书（</w:t>
            </w:r>
            <w:r>
              <w:rPr>
                <w:rFonts w:ascii="宋体" w:hAnsi="宋体"/>
                <w:color w:val="auto"/>
                <w:szCs w:val="21"/>
                <w:highlight w:val="none"/>
              </w:rPr>
              <w:t>B</w:t>
            </w:r>
            <w:r>
              <w:rPr>
                <w:rFonts w:hint="eastAsia" w:ascii="宋体" w:hAnsi="宋体"/>
                <w:color w:val="auto"/>
                <w:szCs w:val="21"/>
                <w:highlight w:val="none"/>
              </w:rPr>
              <w:t>类），工程师及以上技术职称，年龄</w:t>
            </w:r>
            <w:r>
              <w:rPr>
                <w:rFonts w:hint="eastAsia" w:ascii="宋体" w:hAnsi="宋体"/>
                <w:color w:val="auto"/>
                <w:szCs w:val="21"/>
                <w:highlight w:val="none"/>
                <w:lang w:val="en-US" w:eastAsia="zh-CN"/>
              </w:rPr>
              <w:t>6</w:t>
            </w:r>
            <w:r>
              <w:rPr>
                <w:rFonts w:hint="eastAsia" w:ascii="宋体" w:hAnsi="宋体"/>
                <w:color w:val="auto"/>
                <w:szCs w:val="21"/>
                <w:highlight w:val="none"/>
              </w:rPr>
              <w:t>0周岁及以下。</w:t>
            </w:r>
          </w:p>
          <w:p>
            <w:pPr>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、拟委任项目经理未在（或未曾在）在其他在建项目上任项目经理。</w:t>
            </w:r>
          </w:p>
          <w:p>
            <w:pPr>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20</w:t>
            </w:r>
            <w:r>
              <w:rPr>
                <w:rFonts w:hint="eastAsia" w:ascii="宋体" w:hAnsi="宋体"/>
                <w:color w:val="auto"/>
                <w:szCs w:val="21"/>
                <w:highlight w:val="none"/>
              </w:rPr>
              <w:t>18年</w:t>
            </w:r>
            <w:r>
              <w:rPr>
                <w:rFonts w:hint="eastAsia" w:ascii="宋体" w:hAnsi="宋体"/>
                <w:color w:val="auto"/>
                <w:szCs w:val="21"/>
                <w:highlight w:val="none"/>
                <w:lang w:val="en-US" w:eastAsia="zh-CN"/>
              </w:rPr>
              <w:t>7</w:t>
            </w:r>
            <w:r>
              <w:rPr>
                <w:rFonts w:hint="eastAsia" w:ascii="宋体" w:hAnsi="宋体"/>
                <w:color w:val="auto"/>
                <w:szCs w:val="21"/>
                <w:highlight w:val="none"/>
              </w:rPr>
              <w:t>月</w:t>
            </w:r>
            <w:r>
              <w:rPr>
                <w:rFonts w:ascii="宋体" w:hAnsi="宋体"/>
                <w:color w:val="auto"/>
                <w:szCs w:val="21"/>
                <w:highlight w:val="none"/>
              </w:rPr>
              <w:t>1</w:t>
            </w:r>
            <w:r>
              <w:rPr>
                <w:rFonts w:hint="eastAsia" w:ascii="宋体" w:hAnsi="宋体"/>
                <w:color w:val="auto"/>
                <w:szCs w:val="21"/>
                <w:highlight w:val="none"/>
              </w:rPr>
              <w:t>日以来，拟委任的项目经理无行贿犯罪行为。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1" w:hRule="atLeast"/>
        </w:trPr>
        <w:tc>
          <w:tcPr>
            <w:tcW w:w="2092" w:type="dxa"/>
            <w:tcBorders>
              <w:top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hAnsi="宋体"/>
                <w:b/>
                <w:color w:val="auto"/>
                <w:szCs w:val="21"/>
                <w:highlight w:val="none"/>
              </w:rPr>
              <w:t>项目技术负责人</w:t>
            </w:r>
          </w:p>
        </w:tc>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ascii="宋体" w:hAnsi="宋体"/>
                <w:b/>
                <w:color w:val="auto"/>
                <w:szCs w:val="21"/>
                <w:highlight w:val="none"/>
              </w:rPr>
              <w:t>1</w:t>
            </w:r>
          </w:p>
        </w:tc>
        <w:tc>
          <w:tcPr>
            <w:tcW w:w="5967" w:type="dxa"/>
            <w:tcBorders>
              <w:top w:val="single" w:color="auto" w:sz="4" w:space="0"/>
              <w:left w:val="single" w:color="auto" w:sz="4" w:space="0"/>
              <w:bottom w:val="single" w:color="auto" w:sz="4" w:space="0"/>
            </w:tcBorders>
            <w:vAlign w:val="center"/>
          </w:tcPr>
          <w:p>
            <w:pPr>
              <w:rPr>
                <w:rFonts w:ascii="宋体"/>
                <w:color w:val="auto"/>
                <w:szCs w:val="21"/>
                <w:highlight w:val="none"/>
              </w:rPr>
            </w:pPr>
            <w:r>
              <w:rPr>
                <w:rFonts w:hint="eastAsia" w:ascii="宋体" w:hAnsi="宋体"/>
                <w:color w:val="auto"/>
                <w:szCs w:val="21"/>
                <w:highlight w:val="none"/>
              </w:rPr>
              <w:t>担任过液体化工泊位（油品泊位除外）的化工工艺管道安装施工项目的</w:t>
            </w:r>
            <w:r>
              <w:rPr>
                <w:rFonts w:hint="eastAsia" w:ascii="宋体" w:hAnsi="宋体"/>
                <w:color w:val="auto"/>
                <w:szCs w:val="21"/>
                <w:highlight w:val="none"/>
                <w:lang w:eastAsia="zh-CN"/>
              </w:rPr>
              <w:t>项目</w:t>
            </w:r>
            <w:r>
              <w:rPr>
                <w:rFonts w:hint="eastAsia" w:ascii="宋体" w:hAnsi="宋体"/>
                <w:color w:val="auto"/>
                <w:szCs w:val="21"/>
                <w:highlight w:val="none"/>
              </w:rPr>
              <w:t>技术负责人（或项目经理或项目副经理），高级工程师及以上技术职称，并有建筑施工企业安全生产考核合格证书（B类）。</w:t>
            </w:r>
          </w:p>
        </w:tc>
      </w:tr>
    </w:tbl>
    <w:p>
      <w:pPr>
        <w:widowControl/>
        <w:spacing w:line="420" w:lineRule="exact"/>
        <w:ind w:right="420" w:rightChars="200"/>
        <w:rPr>
          <w:rFonts w:ascii="宋体" w:hAnsi="宋体"/>
          <w:color w:val="auto"/>
          <w:highlight w:val="none"/>
        </w:rPr>
      </w:pPr>
      <w:r>
        <w:rPr>
          <w:rFonts w:hint="eastAsia" w:ascii="宋体" w:hAnsi="宋体"/>
          <w:color w:val="auto"/>
          <w:szCs w:val="21"/>
          <w:highlight w:val="none"/>
        </w:rPr>
        <w:t>注：拟委任项目经理有行贿犯罪行为的认定：</w:t>
      </w:r>
      <w:r>
        <w:rPr>
          <w:rFonts w:hint="eastAsia" w:ascii="宋体" w:hAnsi="宋体"/>
          <w:b/>
          <w:color w:val="auto"/>
          <w:szCs w:val="21"/>
          <w:highlight w:val="none"/>
        </w:rPr>
        <w:t>以中国裁判文书网的行贿受贿犯罪档案查询结果为准。</w:t>
      </w:r>
      <w:r>
        <w:rPr>
          <w:rFonts w:hint="eastAsia" w:ascii="宋体" w:hAnsi="宋体"/>
          <w:color w:val="auto"/>
          <w:szCs w:val="21"/>
          <w:highlight w:val="none"/>
        </w:rPr>
        <w:t>（</w:t>
      </w:r>
      <w:r>
        <w:rPr>
          <w:rFonts w:ascii="宋体" w:hAnsi="宋体"/>
          <w:color w:val="auto"/>
          <w:szCs w:val="21"/>
          <w:highlight w:val="none"/>
        </w:rPr>
        <w:t>投标人无须提供，由招标人</w:t>
      </w:r>
      <w:r>
        <w:rPr>
          <w:rFonts w:hint="eastAsia" w:ascii="宋体" w:hAnsi="宋体"/>
          <w:color w:val="auto"/>
          <w:szCs w:val="21"/>
          <w:highlight w:val="none"/>
        </w:rPr>
        <w:t>在公示期间对公示的拟委任项目经理</w:t>
      </w:r>
      <w:r>
        <w:rPr>
          <w:rFonts w:hint="eastAsia" w:hAnsi="宋体"/>
          <w:color w:val="auto"/>
          <w:szCs w:val="21"/>
          <w:highlight w:val="none"/>
        </w:rPr>
        <w:t>通过中国裁判文书网进行行贿犯罪查询</w:t>
      </w:r>
      <w:r>
        <w:rPr>
          <w:rFonts w:hint="eastAsia" w:ascii="宋体" w:hAnsi="宋体"/>
          <w:color w:val="auto"/>
          <w:szCs w:val="21"/>
          <w:highlight w:val="none"/>
        </w:rPr>
        <w:t>）</w:t>
      </w:r>
    </w:p>
    <w:p>
      <w:pPr>
        <w:spacing w:line="0" w:lineRule="atLeast"/>
        <w:ind w:firstLine="420" w:firstLineChars="200"/>
        <w:rPr>
          <w:rFonts w:ascii="宋体" w:hAnsi="宋体"/>
          <w:color w:val="auto"/>
          <w:szCs w:val="21"/>
          <w:highlight w:val="none"/>
        </w:rPr>
      </w:pPr>
      <w:r>
        <w:rPr>
          <w:rFonts w:hint="eastAsia" w:ascii="宋体" w:hAnsi="宋体"/>
          <w:color w:val="auto"/>
          <w:szCs w:val="21"/>
          <w:highlight w:val="none"/>
        </w:rPr>
        <w:t>1. 投标人应在“第</w:t>
      </w:r>
      <w:r>
        <w:rPr>
          <w:rFonts w:hint="eastAsia" w:ascii="宋体" w:hAnsi="宋体"/>
          <w:color w:val="auto"/>
          <w:szCs w:val="21"/>
          <w:highlight w:val="none"/>
          <w:lang w:eastAsia="zh-CN"/>
        </w:rPr>
        <w:t>七</w:t>
      </w:r>
      <w:r>
        <w:rPr>
          <w:rFonts w:hint="eastAsia" w:ascii="宋体" w:hAnsi="宋体"/>
          <w:color w:val="auto"/>
          <w:szCs w:val="21"/>
          <w:highlight w:val="none"/>
        </w:rPr>
        <w:t>章 投标文件格式”的“拟委任的项目经理和项目技术负责人资历</w:t>
      </w:r>
      <w:r>
        <w:rPr>
          <w:rFonts w:ascii="宋体" w:hAnsi="宋体"/>
          <w:color w:val="auto"/>
          <w:szCs w:val="21"/>
          <w:highlight w:val="none"/>
        </w:rPr>
        <w:t>表</w:t>
      </w:r>
      <w:r>
        <w:rPr>
          <w:rFonts w:hint="eastAsia" w:ascii="宋体" w:hAnsi="宋体"/>
          <w:color w:val="auto"/>
          <w:szCs w:val="21"/>
          <w:highlight w:val="none"/>
        </w:rPr>
        <w:t>”后</w:t>
      </w:r>
      <w:r>
        <w:rPr>
          <w:rFonts w:ascii="宋体" w:hAnsi="宋体"/>
          <w:color w:val="auto"/>
          <w:szCs w:val="21"/>
          <w:highlight w:val="none"/>
        </w:rPr>
        <w:t>附</w:t>
      </w:r>
      <w:r>
        <w:rPr>
          <w:rFonts w:hint="eastAsia" w:ascii="宋体" w:hAnsi="宋体"/>
          <w:color w:val="auto"/>
          <w:szCs w:val="21"/>
          <w:highlight w:val="none"/>
        </w:rPr>
        <w:t>：</w:t>
      </w:r>
    </w:p>
    <w:p>
      <w:pPr>
        <w:spacing w:line="0" w:lineRule="atLeast"/>
        <w:ind w:firstLine="420" w:firstLineChars="200"/>
        <w:rPr>
          <w:rFonts w:ascii="宋体" w:hAnsi="宋体"/>
          <w:color w:val="auto"/>
          <w:szCs w:val="21"/>
          <w:highlight w:val="none"/>
        </w:rPr>
      </w:pPr>
      <w:r>
        <w:rPr>
          <w:rFonts w:hint="eastAsia" w:ascii="宋体" w:hAnsi="宋体"/>
          <w:color w:val="auto"/>
          <w:szCs w:val="21"/>
          <w:highlight w:val="none"/>
        </w:rPr>
        <w:t xml:space="preserve">a项目经理和项目技术负责人的身份证、职称资格证书、安全生产考核合格证书以及项目经理的机电工程专业二级及以上建造师注册证书的复印件（身份证应正反双面复印）；      </w:t>
      </w:r>
    </w:p>
    <w:p>
      <w:pPr>
        <w:spacing w:line="270" w:lineRule="exact"/>
        <w:ind w:firstLine="420" w:firstLineChars="200"/>
        <w:rPr>
          <w:rFonts w:ascii="宋体" w:hAnsi="宋体"/>
          <w:color w:val="auto"/>
          <w:szCs w:val="21"/>
          <w:highlight w:val="none"/>
        </w:rPr>
      </w:pPr>
      <w:r>
        <w:rPr>
          <w:rFonts w:hint="eastAsia" w:ascii="宋体" w:hAnsi="宋体"/>
          <w:color w:val="auto"/>
          <w:szCs w:val="21"/>
          <w:highlight w:val="none"/>
        </w:rPr>
        <w:t>项目经理的建造师注册证书和安全生产考核合格证书以及项目技术负责人的安全生产考核合格证书中的聘用企业名称应与申请人名称一致，否则资格审查将不予通过。</w:t>
      </w:r>
    </w:p>
    <w:p>
      <w:pPr>
        <w:spacing w:line="270" w:lineRule="exact"/>
        <w:ind w:firstLine="315" w:firstLineChars="150"/>
        <w:rPr>
          <w:rFonts w:ascii="宋体" w:hAnsi="宋体"/>
          <w:color w:val="auto"/>
          <w:szCs w:val="21"/>
          <w:highlight w:val="none"/>
        </w:rPr>
      </w:pPr>
      <w:r>
        <w:rPr>
          <w:rFonts w:hint="eastAsia" w:ascii="宋体" w:hAnsi="宋体"/>
          <w:color w:val="auto"/>
          <w:szCs w:val="21"/>
          <w:highlight w:val="none"/>
        </w:rPr>
        <w:t>b项目经理和项目技术负责人担任类似项目的项目经理或项目副经理或项目技术负责人的相关业绩证明材料【中标通知书、合同协议书（包含联合体合同协议书）、质量证明文件</w:t>
      </w:r>
      <w:r>
        <w:rPr>
          <w:rFonts w:hint="eastAsia"/>
          <w:color w:val="auto"/>
          <w:highlight w:val="none"/>
        </w:rPr>
        <w:t>（质量验收证明或竣工验收证明）</w:t>
      </w:r>
      <w:r>
        <w:rPr>
          <w:rFonts w:hint="eastAsia" w:ascii="宋体" w:hAnsi="宋体"/>
          <w:color w:val="auto"/>
          <w:szCs w:val="21"/>
          <w:highlight w:val="none"/>
        </w:rPr>
        <w:t>，施工合同履行过程中承发包双方的往来任意一张款项的发票（发票编号必须清晰可辨），上述材料缺一不可，否则业绩不予认可。】的复印件，如上述资料中均未体现人员姓名、任职及业绩规模，则还须提供发包人或项目质量监督部门或项目所在地设区市行业主管部门出具的证明材料；</w:t>
      </w:r>
    </w:p>
    <w:p>
      <w:pPr>
        <w:ind w:firstLine="420" w:firstLineChars="200"/>
        <w:rPr>
          <w:rFonts w:ascii="宋体" w:hAnsi="宋体"/>
          <w:color w:val="auto"/>
          <w:szCs w:val="21"/>
          <w:highlight w:val="none"/>
        </w:rPr>
      </w:pPr>
      <w:r>
        <w:rPr>
          <w:rFonts w:hint="eastAsia" w:ascii="宋体" w:hAnsi="宋体"/>
          <w:color w:val="auto"/>
          <w:szCs w:val="21"/>
          <w:highlight w:val="none"/>
        </w:rPr>
        <w:t>2、“在建项目”的起止时间界定：标段中标通知书发出之日起至标段竣工验收通过之日止。</w:t>
      </w:r>
    </w:p>
    <w:p>
      <w:pPr>
        <w:ind w:firstLine="315" w:firstLineChars="150"/>
        <w:rPr>
          <w:rFonts w:ascii="宋体" w:hAnsi="宋体"/>
          <w:color w:val="auto"/>
          <w:szCs w:val="21"/>
          <w:highlight w:val="none"/>
        </w:rPr>
      </w:pPr>
      <w:r>
        <w:rPr>
          <w:rFonts w:hint="eastAsia" w:ascii="宋体" w:hAnsi="宋体"/>
          <w:color w:val="auto"/>
          <w:szCs w:val="21"/>
          <w:highlight w:val="none"/>
        </w:rPr>
        <w:t>标段中标通知书中有拟委任项目经理和备选项目经理的，该拟委任项目经理和备选项目经理是否有“在建项目”按以下原则认定：</w:t>
      </w:r>
    </w:p>
    <w:p>
      <w:pPr>
        <w:ind w:firstLine="315" w:firstLineChars="150"/>
        <w:rPr>
          <w:rFonts w:ascii="宋体" w:hAnsi="宋体"/>
          <w:color w:val="auto"/>
          <w:szCs w:val="21"/>
          <w:highlight w:val="none"/>
        </w:rPr>
      </w:pPr>
      <w:r>
        <w:rPr>
          <w:rFonts w:hint="eastAsia" w:ascii="宋体" w:hAnsi="宋体"/>
          <w:color w:val="auto"/>
          <w:szCs w:val="21"/>
          <w:highlight w:val="none"/>
        </w:rPr>
        <w:t>a．合同协议书中明确的项目经理为中标通知书中的拟委任项目经理、备选项目经理之一的，则仅认定合同协议书中明确的项目经理有“在建项目”。</w:t>
      </w:r>
    </w:p>
    <w:p>
      <w:pPr>
        <w:ind w:firstLine="315" w:firstLineChars="150"/>
        <w:rPr>
          <w:rFonts w:ascii="宋体" w:hAnsi="宋体"/>
          <w:color w:val="auto"/>
          <w:szCs w:val="21"/>
          <w:highlight w:val="none"/>
        </w:rPr>
      </w:pPr>
      <w:r>
        <w:rPr>
          <w:rFonts w:hint="eastAsia" w:ascii="宋体" w:hAnsi="宋体"/>
          <w:color w:val="auto"/>
          <w:szCs w:val="21"/>
          <w:highlight w:val="none"/>
        </w:rPr>
        <w:t>b．合同协议书中明确的项目经理均不是中标通知书中的拟任项目经理或备选项目经理的，则合同协议书中明确的项目经理以及中标通知书中的拟任项目经理、备选项目经理三者均视为有“在建项目”。</w:t>
      </w:r>
    </w:p>
    <w:p>
      <w:pPr>
        <w:spacing w:line="320" w:lineRule="exact"/>
        <w:ind w:firstLine="420" w:firstLineChars="200"/>
        <w:rPr>
          <w:color w:val="auto"/>
          <w:szCs w:val="21"/>
          <w:highlight w:val="none"/>
        </w:rPr>
      </w:pPr>
      <w:r>
        <w:rPr>
          <w:rFonts w:hint="eastAsia" w:ascii="宋体" w:hAnsi="宋体"/>
          <w:color w:val="auto"/>
          <w:szCs w:val="21"/>
          <w:highlight w:val="none"/>
        </w:rPr>
        <w:t>c．中标通知书已发出，但合同协议书尚未签订的，则中标通知书中的拟任项目经理和备选项目经理均视为有“在建项目”。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20</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157</w: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38</w:t>
    </w:r>
    <w:r>
      <w:fldChar w:fldCharType="end"/>
    </w:r>
  </w:p>
  <w:p>
    <w:pPr>
      <w:pStyle w:val="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157</w: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653CB2"/>
    <w:rsid w:val="595D3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3" w:lineRule="auto"/>
      <w:outlineLvl w:val="2"/>
    </w:pPr>
    <w:rPr>
      <w:b/>
      <w:bCs/>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eastAsiaTheme="minorEastAsia" w:cstheme="minorBidi"/>
      <w:szCs w:val="2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2021-08-20T01:36:00Z</dcterms:created>
  <dc:creator>user</dc:creator>
  <cp:lastModifiedBy>dell</cp:lastModifiedBy>
  <dcterms:modified xsi:type="dcterms:W3CDTF">2021-08-20T06:44:43Z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D257ACADB4364FB6980A3E3A921367F7</vt:lpwstr>
  </property>
</Properties>
</file>