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附件2</w:t>
      </w:r>
      <w:bookmarkStart w:id="0" w:name="_GoBack"/>
      <w:bookmarkEnd w:id="0"/>
    </w:p>
    <w:p>
      <w:pPr>
        <w:spacing w:line="580" w:lineRule="exact"/>
        <w:rPr>
          <w:rFonts w:hint="eastAsia" w:ascii="黑体" w:hAnsi="黑体" w:eastAsia="黑体"/>
          <w:sz w:val="32"/>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暂时保留但停止执行与上位法不一致内容的</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行政规范性文件目录</w:t>
      </w:r>
    </w:p>
    <w:p/>
    <w:tbl>
      <w:tblPr>
        <w:tblStyle w:val="2"/>
        <w:tblW w:w="833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5109"/>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序号</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文件名称</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关于发布《浙江省公路水运工程落后施工工艺、设备和材料的淘汰目录（第一批）》的通知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浙交〔2019〕35号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浙江省交通运输行政处罚裁量基准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浙交〔2019〕183号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3</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浙江省小型交通建设工程质量和安全生产管理办法</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浙交〔2019〕184号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2"/>
                <w:sz w:val="24"/>
                <w:szCs w:val="24"/>
                <w:u w:val="none"/>
                <w:lang w:val="en-US" w:eastAsia="zh-CN" w:bidi="ar-SA"/>
              </w:rPr>
            </w:pPr>
            <w:r>
              <w:rPr>
                <w:rFonts w:hint="eastAsia" w:ascii="仿宋_GB2312" w:hAnsi="宋体" w:eastAsia="仿宋_GB2312" w:cs="仿宋_GB2312"/>
                <w:i w:val="0"/>
                <w:color w:val="auto"/>
                <w:kern w:val="0"/>
                <w:sz w:val="24"/>
                <w:szCs w:val="24"/>
                <w:u w:val="none"/>
                <w:lang w:val="en-US" w:eastAsia="zh-CN" w:bidi="ar"/>
              </w:rPr>
              <w:t>4</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kern w:val="2"/>
                <w:sz w:val="24"/>
                <w:szCs w:val="24"/>
                <w:u w:val="none"/>
                <w:lang w:val="en-US" w:eastAsia="zh-CN" w:bidi="ar-SA"/>
              </w:rPr>
            </w:pPr>
            <w:r>
              <w:rPr>
                <w:rFonts w:hint="default" w:ascii="仿宋_GB2312" w:hAnsi="宋体" w:eastAsia="仿宋_GB2312" w:cs="仿宋_GB2312"/>
                <w:i w:val="0"/>
                <w:color w:val="auto"/>
                <w:kern w:val="0"/>
                <w:sz w:val="24"/>
                <w:szCs w:val="24"/>
                <w:u w:val="none"/>
                <w:lang w:val="en-US" w:eastAsia="zh-CN" w:bidi="ar"/>
              </w:rPr>
              <w:t>浙江省交通建设工程质量安全分级监管办法</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 xml:space="preserve"> 浙交〔2019〕121号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关于印发《高速公路桥下空间合理利用管理试行办法》的通知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浙交〔2017〕93号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关于印发《浙江省“十三五”普通公路服务站建设实施意见（试行）》的通知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浙交〔2016〕198号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关于进一步加强浙江省交通建设工程质量安全管理工作的若干意见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浙交〔2015〕59号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关于印发《浙江省公路水运工程施工招标投标管理实施细则（修订）》的通知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浙交〔2012〕329号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关于印发《浙江省公路水运工程施工分包管理实施细则》的通知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浙交〔2012〕253号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w:t>
            </w:r>
          </w:p>
        </w:tc>
        <w:tc>
          <w:tcPr>
            <w:tcW w:w="5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浙江省交通厅关于进一步落实交通建设领域施工企业农民工记工考勤卡等事宜的通知</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浙交〔2009〕39号</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71DC5"/>
    <w:rsid w:val="3A27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2021-12-03T07:24:00Z</dcterms:created>
  <dc:creator>dell</dc:creator>
  <cp:lastModifiedBy>dell</cp:lastModifiedBy>
  <dcterms:modified xsi:type="dcterms:W3CDTF">2021-12-03T07:24:40Z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A89994D3EAA8450AA4D2A5C3E6298B6F</vt:lpwstr>
  </property>
</Properties>
</file>