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z w:val="44"/>
          <w:szCs w:val="52"/>
        </w:rPr>
      </w:pPr>
      <w:bookmarkStart w:id="1" w:name="_GoBack"/>
      <w:r>
        <w:rPr>
          <w:rFonts w:ascii="方正小标宋简体" w:eastAsia="方正小标宋简体"/>
          <w:sz w:val="44"/>
          <w:szCs w:val="52"/>
        </w:rPr>
        <w:t>浙江省</w:t>
      </w:r>
      <w:r>
        <w:rPr>
          <w:rFonts w:hint="eastAsia" w:ascii="方正小标宋简体" w:eastAsia="方正小标宋简体"/>
          <w:sz w:val="44"/>
          <w:szCs w:val="52"/>
        </w:rPr>
        <w:t>综合交通枢纽</w:t>
      </w:r>
      <w:r>
        <w:rPr>
          <w:rFonts w:hint="eastAsia" w:eastAsia="方正小标宋简体"/>
          <w:sz w:val="44"/>
          <w:szCs w:val="52"/>
        </w:rPr>
        <w:t>“</w:t>
      </w:r>
      <w:r>
        <w:rPr>
          <w:rFonts w:ascii="方正小标宋简体" w:eastAsia="方正小标宋简体"/>
          <w:sz w:val="44"/>
          <w:szCs w:val="52"/>
        </w:rPr>
        <w:t>十四五</w:t>
      </w:r>
      <w:r>
        <w:rPr>
          <w:rFonts w:hint="eastAsia" w:eastAsia="方正小标宋简体"/>
          <w:sz w:val="44"/>
          <w:szCs w:val="52"/>
        </w:rPr>
        <w:t>”</w:t>
      </w:r>
      <w:r>
        <w:rPr>
          <w:rFonts w:ascii="方正小标宋简体" w:eastAsia="方正小标宋简体"/>
          <w:sz w:val="44"/>
          <w:szCs w:val="52"/>
        </w:rPr>
        <w:t>规划</w:t>
      </w:r>
      <w:bookmarkEnd w:id="1"/>
    </w:p>
    <w:p>
      <w:pPr>
        <w:spacing w:line="580" w:lineRule="exact"/>
        <w:jc w:val="center"/>
        <w:rPr>
          <w:rFonts w:eastAsia="方正小标宋简体"/>
          <w:sz w:val="44"/>
          <w:szCs w:val="52"/>
        </w:rPr>
      </w:pPr>
    </w:p>
    <w:p>
      <w:pPr>
        <w:spacing w:line="580" w:lineRule="exact"/>
        <w:ind w:firstLine="640" w:firstLineChars="200"/>
        <w:rPr>
          <w:rFonts w:ascii="仿宋_GB2312" w:hAnsi="等线"/>
          <w:szCs w:val="32"/>
        </w:rPr>
      </w:pPr>
      <w:r>
        <w:rPr>
          <w:rFonts w:hint="eastAsia" w:ascii="仿宋_GB2312"/>
          <w:szCs w:val="32"/>
        </w:rPr>
        <w:t>综合交通枢纽是衔接多种运输方式、辐射一定区域的客、货转运中心, 是综合交通运输体系的重要组成部分。依据《浙江省综合交通运输发展“十四五”规划》，特编制《浙江省综合交通枢纽“十四五”规划》。</w:t>
      </w:r>
    </w:p>
    <w:p>
      <w:pPr>
        <w:pStyle w:val="2"/>
        <w:spacing w:line="580" w:lineRule="exact"/>
        <w:ind w:firstLine="640" w:firstLineChars="200"/>
        <w:rPr>
          <w:rFonts w:hint="eastAsia" w:ascii="Times New Roman" w:hAnsi="Times New Roman"/>
          <w:bCs/>
        </w:rPr>
      </w:pPr>
      <w:r>
        <w:rPr>
          <w:rFonts w:ascii="黑体" w:hAnsi="黑体"/>
          <w:bCs/>
        </w:rPr>
        <w:t>一、发展基础</w:t>
      </w:r>
    </w:p>
    <w:p>
      <w:pPr>
        <w:spacing w:line="580" w:lineRule="exact"/>
        <w:ind w:firstLine="640" w:firstLineChars="200"/>
        <w:rPr>
          <w:rFonts w:ascii="楷体_GB2312" w:eastAsia="楷体_GB2312"/>
          <w:bCs/>
          <w:szCs w:val="32"/>
        </w:rPr>
      </w:pPr>
      <w:r>
        <w:rPr>
          <w:rFonts w:ascii="楷体_GB2312" w:eastAsia="楷体_GB2312"/>
          <w:bCs/>
          <w:szCs w:val="32"/>
        </w:rPr>
        <w:t>（一）发展概况</w:t>
      </w:r>
    </w:p>
    <w:p>
      <w:pPr>
        <w:spacing w:line="580" w:lineRule="exact"/>
        <w:ind w:firstLine="640" w:firstLineChars="200"/>
        <w:rPr>
          <w:rFonts w:ascii="仿宋_GB2312" w:hAnsi="等线"/>
          <w:szCs w:val="32"/>
        </w:rPr>
      </w:pPr>
      <w:r>
        <w:rPr>
          <w:rFonts w:hint="eastAsia" w:ascii="仿宋_GB2312"/>
          <w:szCs w:val="32"/>
        </w:rPr>
        <w:t>浙江交通以“八八战略”为总纲，围绕全面推进现代化综合交通运输发展，着力推进综合交通枢纽体系建设，综合交通枢纽城市格局初步形成，枢纽集疏运网络逐渐完善，综合交通衔接转换能力逐步增强，逐步成为支撑城市集聚辐射能级提升的重要增长极。</w:t>
      </w:r>
    </w:p>
    <w:p>
      <w:pPr>
        <w:spacing w:line="580" w:lineRule="exact"/>
        <w:ind w:firstLine="640" w:firstLineChars="200"/>
        <w:rPr>
          <w:rFonts w:hint="eastAsia" w:ascii="仿宋_GB2312"/>
          <w:szCs w:val="32"/>
        </w:rPr>
      </w:pPr>
      <w:r>
        <w:rPr>
          <w:rFonts w:hint="eastAsia" w:ascii="仿宋_GB2312"/>
          <w:szCs w:val="32"/>
        </w:rPr>
        <w:t>1.综合交通枢纽城市格局初步形成</w:t>
      </w:r>
    </w:p>
    <w:p>
      <w:pPr>
        <w:spacing w:line="580" w:lineRule="exact"/>
        <w:ind w:firstLine="640" w:firstLineChars="200"/>
        <w:rPr>
          <w:rFonts w:ascii="仿宋_GB2312" w:hAnsi="等线"/>
          <w:szCs w:val="32"/>
        </w:rPr>
      </w:pPr>
      <w:r>
        <w:rPr>
          <w:rFonts w:hint="eastAsia" w:ascii="仿宋_GB2312"/>
          <w:szCs w:val="32"/>
        </w:rPr>
        <w:t>全省初步形成以杭州、宁波、温州、金义四大都市区为核心，嘉兴、湖州、衢州、绍兴、台州、丽水、舟山为节点的综合交通枢纽城市格局，全省集聚辐射能级显著增强。重点建设杭州西站、宁波栎社国际机场综合交通枢纽、温州机场交通枢纽综合体、铁路义乌站综合交通枢纽、衢州市综合客运枢纽站等综合客运枢纽，中国（杭州）跨境电子商务空港园区、宁波宁海物流综合货运中心、温州潘桥国际物流园区、义乌保税物流园区、湖州铁公水物流园区等综合货运枢纽。全省综合客运枢纽达到66个，其中门户型6个，地区型23个，一般型37个；全省综合货运枢纽达到17个，其中门户型3个，地区型6个，一般型8个，支撑枢纽城市功能逐步增强。</w:t>
      </w:r>
    </w:p>
    <w:p>
      <w:pPr>
        <w:spacing w:line="580" w:lineRule="exact"/>
        <w:ind w:firstLine="640" w:firstLineChars="200"/>
        <w:rPr>
          <w:rFonts w:hint="eastAsia" w:ascii="仿宋_GB2312"/>
          <w:szCs w:val="32"/>
        </w:rPr>
      </w:pPr>
      <w:r>
        <w:rPr>
          <w:rFonts w:ascii="仿宋_GB2312"/>
          <w:szCs w:val="32"/>
        </w:rPr>
        <w:t>2.综合交通枢纽集疏运网络逐渐完善</w:t>
      </w:r>
    </w:p>
    <w:p>
      <w:pPr>
        <w:spacing w:line="580" w:lineRule="exact"/>
        <w:ind w:firstLine="640" w:firstLineChars="200"/>
        <w:rPr>
          <w:rFonts w:ascii="仿宋_GB2312" w:hAnsi="等线"/>
          <w:szCs w:val="32"/>
        </w:rPr>
      </w:pPr>
      <w:r>
        <w:rPr>
          <w:rFonts w:hint="eastAsia" w:ascii="仿宋_GB2312"/>
          <w:szCs w:val="32"/>
        </w:rPr>
        <w:t>全省“三纵四横”交通通道主骨架与“对角贯通”综合通道格局基本形成，新增浙西、浙南通道，扩容提升沪宁浙赣、浙北、沿海等通道，综合交通枢纽集疏运网络逐步完善。建成杭州湾跨海大桥北接线、杭黄铁路等省际通道，形成54个省际交通干线接口，实现杭州至上海、南京高铁“1小时交通圈”，基本实现浙北地区至长三角主要城市1.5小时通达。形成杭绍甬、杭金衢、甬台温、金丽温等城际通道，以都市圈城际铁路、城市轨道为骨架的都市区通勤交通网络初具雏形。加快推进重要枢纽场站的集疏运体系建设，实现杭州、宁波、温州三大机场轨道接驳，乐清湾港区、头门港、穿山港三大港区通铁路，综合交通枢纽集疏运效能显著提升。</w:t>
      </w:r>
    </w:p>
    <w:p>
      <w:pPr>
        <w:spacing w:line="580" w:lineRule="exact"/>
        <w:ind w:firstLine="640" w:firstLineChars="200"/>
        <w:rPr>
          <w:rFonts w:hint="eastAsia" w:ascii="仿宋_GB2312"/>
          <w:szCs w:val="32"/>
        </w:rPr>
      </w:pPr>
      <w:r>
        <w:rPr>
          <w:rFonts w:ascii="仿宋_GB2312"/>
          <w:szCs w:val="32"/>
        </w:rPr>
        <w:t>3.综合交通衔接转换能力逐步增强</w:t>
      </w:r>
    </w:p>
    <w:p>
      <w:pPr>
        <w:spacing w:line="580" w:lineRule="exact"/>
        <w:ind w:firstLine="640" w:firstLineChars="200"/>
        <w:rPr>
          <w:rFonts w:ascii="仿宋_GB2312" w:hAnsi="等线"/>
          <w:szCs w:val="32"/>
        </w:rPr>
      </w:pPr>
      <w:r>
        <w:rPr>
          <w:rFonts w:hint="eastAsia" w:ascii="仿宋_GB2312"/>
          <w:szCs w:val="32"/>
        </w:rPr>
        <w:t>综合交通网络高效运行，铁路网每公里客运密度超2800万人公里，是全国平均水平的2.6倍；国道交通量3.9万pcu/d，是全国平均水平的2.7倍，居全国各省第二位；高速公路平均断面交通量4.6万pcu/d，是全国平均水平的1.6倍，居全国各省第一位。大型综合交通枢纽高效运行。杭州东站旅客年发送量超7000万人次，杭州机场年旅客吞吐量超4000万人次，居全国第十位。宁波舟山港年货物总吞吐量超过11亿吨，稳居世界第一，集装箱吞吐量2872万标箱，位列世界第三；宁波站年旅客发送量超2100万人次；宁波机场年旅客吞吐量达1200万人次。温州南站年旅客发送量超1500万人次，温州机场年旅客吞吐量超1200万人次。金华快递业务量90.1亿件，居全国各市第一；义乌保税国际物流园区跨境进口业务量超2600万单，居全国前列；义乌站旅客发送量超1300万人次，居全国县级市第一位。</w:t>
      </w:r>
    </w:p>
    <w:p>
      <w:pPr>
        <w:spacing w:line="580" w:lineRule="exact"/>
        <w:ind w:firstLine="640" w:firstLineChars="200"/>
        <w:outlineLvl w:val="1"/>
        <w:rPr>
          <w:rFonts w:hint="eastAsia" w:eastAsia="楷体_GB2312"/>
          <w:szCs w:val="32"/>
        </w:rPr>
      </w:pPr>
      <w:r>
        <w:rPr>
          <w:rFonts w:ascii="楷体_GB2312" w:eastAsia="楷体_GB2312"/>
          <w:szCs w:val="32"/>
        </w:rPr>
        <w:t>（二）存在问题</w:t>
      </w:r>
    </w:p>
    <w:p>
      <w:pPr>
        <w:spacing w:line="580" w:lineRule="exact"/>
        <w:ind w:firstLine="640" w:firstLineChars="200"/>
        <w:rPr>
          <w:rFonts w:ascii="仿宋_GB2312"/>
          <w:szCs w:val="32"/>
        </w:rPr>
      </w:pPr>
      <w:r>
        <w:rPr>
          <w:rFonts w:ascii="仿宋_GB2312"/>
          <w:szCs w:val="32"/>
        </w:rPr>
        <w:t>1.综合交通枢纽统筹谋划不足。</w:t>
      </w:r>
      <w:r>
        <w:rPr>
          <w:rFonts w:hint="eastAsia" w:ascii="仿宋_GB2312"/>
          <w:szCs w:val="32"/>
        </w:rPr>
        <w:t>全省综合客货运枢纽体系缺乏统筹谋划，存在层次不清、功能重叠、建设时序不一、建设用地难落实、周边配套不衔接等问题，严重影响枢纽场站集散效率，及枢纽体系整体功能的发挥。</w:t>
      </w:r>
    </w:p>
    <w:p>
      <w:pPr>
        <w:spacing w:line="580" w:lineRule="exact"/>
        <w:ind w:firstLine="640" w:firstLineChars="200"/>
        <w:rPr>
          <w:rFonts w:ascii="仿宋_GB2312"/>
          <w:szCs w:val="32"/>
        </w:rPr>
      </w:pPr>
      <w:r>
        <w:rPr>
          <w:rFonts w:ascii="仿宋_GB2312"/>
          <w:szCs w:val="32"/>
        </w:rPr>
        <w:t>2.综合交通枢纽融合衔接不强。</w:t>
      </w:r>
      <w:r>
        <w:rPr>
          <w:rFonts w:hint="eastAsia" w:ascii="仿宋_GB2312"/>
          <w:szCs w:val="32"/>
        </w:rPr>
        <w:t>综合枢纽集成衔接水平有待强化。机场、高铁站等综合客运枢纽缺乏轨道交通衔接，城市内外交通转换不畅。货运多式联运总体进展缓慢，港口海铁联运、海河联运量占多式联运总量比重远低于发达国家水平，综合货运枢纽集疏运体系有待完善。</w:t>
      </w:r>
    </w:p>
    <w:p>
      <w:pPr>
        <w:spacing w:line="580" w:lineRule="exact"/>
        <w:ind w:firstLine="640" w:firstLineChars="200"/>
        <w:rPr>
          <w:rFonts w:ascii="仿宋_GB2312"/>
          <w:szCs w:val="32"/>
        </w:rPr>
      </w:pPr>
      <w:r>
        <w:rPr>
          <w:rFonts w:ascii="仿宋_GB2312"/>
          <w:szCs w:val="32"/>
        </w:rPr>
        <w:t>3.综合交通枢纽高质量发展水平待提升。</w:t>
      </w:r>
      <w:r>
        <w:rPr>
          <w:rFonts w:hint="eastAsia" w:ascii="仿宋_GB2312"/>
          <w:szCs w:val="32"/>
        </w:rPr>
        <w:t>智慧交通和绿色集约化建设均处于初级阶段，仅在最高层级枢纽中进行建设探索，新技术、新材料、新设施应用水平有待提升，智能运输组织和服务水平有待加强。枢纽的投资、管理、建设、运营各环节相互分离，内在联系不强，枢纽区域开发难以实现一体推动。专业化货运服务管理、行业监管等方面有待进一步提高。</w:t>
      </w:r>
    </w:p>
    <w:p>
      <w:pPr>
        <w:spacing w:line="580" w:lineRule="exact"/>
        <w:ind w:firstLine="640" w:firstLineChars="200"/>
        <w:rPr>
          <w:rFonts w:ascii="仿宋_GB2312"/>
          <w:szCs w:val="32"/>
        </w:rPr>
      </w:pPr>
      <w:r>
        <w:rPr>
          <w:rFonts w:ascii="仿宋_GB2312"/>
          <w:szCs w:val="32"/>
        </w:rPr>
        <w:t>4.综合交通枢纽的服务功能有待拓展。</w:t>
      </w:r>
      <w:r>
        <w:rPr>
          <w:rFonts w:hint="eastAsia" w:ascii="仿宋_GB2312"/>
          <w:szCs w:val="32"/>
        </w:rPr>
        <w:t>目前枢纽在城市中主要发挥承载要素流动的作用，站城一体、产城融合的新型发展模式有待探索，枢纽经济功能尚待拓展，引领空间布局重塑和资源集约配置、支撑城市辐射潜力和服务功能尚未充分发挥。</w:t>
      </w:r>
    </w:p>
    <w:p>
      <w:pPr>
        <w:pStyle w:val="2"/>
        <w:spacing w:line="580" w:lineRule="exact"/>
        <w:ind w:firstLine="640" w:firstLineChars="200"/>
        <w:rPr>
          <w:rFonts w:hint="eastAsia" w:ascii="Times New Roman" w:hAnsi="Times New Roman"/>
          <w:bCs/>
        </w:rPr>
      </w:pPr>
      <w:r>
        <w:rPr>
          <w:rFonts w:ascii="黑体" w:hAnsi="黑体"/>
          <w:bCs/>
        </w:rPr>
        <w:t>二、形势需求</w:t>
      </w:r>
    </w:p>
    <w:p>
      <w:pPr>
        <w:spacing w:line="580" w:lineRule="exact"/>
        <w:ind w:firstLine="640" w:firstLineChars="200"/>
        <w:outlineLvl w:val="1"/>
        <w:rPr>
          <w:rFonts w:eastAsia="楷体_GB2312"/>
          <w:szCs w:val="32"/>
        </w:rPr>
      </w:pPr>
      <w:r>
        <w:rPr>
          <w:rFonts w:ascii="楷体_GB2312" w:eastAsia="楷体_GB2312"/>
          <w:szCs w:val="32"/>
        </w:rPr>
        <w:t>（一）形势分析</w:t>
      </w:r>
    </w:p>
    <w:p>
      <w:pPr>
        <w:spacing w:line="580" w:lineRule="exact"/>
        <w:ind w:firstLine="640" w:firstLineChars="200"/>
        <w:rPr>
          <w:rFonts w:ascii="仿宋_GB2312"/>
          <w:szCs w:val="32"/>
        </w:rPr>
      </w:pPr>
      <w:r>
        <w:rPr>
          <w:rFonts w:ascii="仿宋_GB2312"/>
          <w:szCs w:val="32"/>
        </w:rPr>
        <w:t>1.交通强国建设要求建设枢纽城市</w:t>
      </w:r>
    </w:p>
    <w:p>
      <w:pPr>
        <w:spacing w:line="580" w:lineRule="exact"/>
        <w:ind w:firstLine="640" w:firstLineChars="200"/>
        <w:rPr>
          <w:rFonts w:ascii="仿宋_GB2312"/>
          <w:szCs w:val="32"/>
        </w:rPr>
      </w:pPr>
      <w:r>
        <w:rPr>
          <w:rFonts w:hint="eastAsia" w:ascii="仿宋_GB2312"/>
          <w:szCs w:val="32"/>
        </w:rPr>
        <w:t>《交通强国建设纲要》明确提出，建设一批全国性、区域性交通枢纽，推进综合交通枢纽一体化规划建设，提高换乘换装水平，完善集疏运体系。大力发展枢纽经济。《国家综合立体交通网规划纲要》提出建设综合交通枢纽集群、枢纽城市及枢纽港站“三位一体”的国家综合交通枢纽系统。推进一批国际性枢纽港站、全国性枢纽港站建设。并明确建设以上海、杭州、南京为中心联动合肥、宁波等城市的长三角枢纽集群。要求以城市为节点单位统筹枢纽城市建设。</w:t>
      </w:r>
    </w:p>
    <w:p>
      <w:pPr>
        <w:spacing w:line="580" w:lineRule="exact"/>
        <w:ind w:firstLine="640" w:firstLineChars="200"/>
        <w:rPr>
          <w:rFonts w:hint="eastAsia" w:ascii="仿宋_GB2312"/>
          <w:szCs w:val="32"/>
        </w:rPr>
      </w:pPr>
      <w:r>
        <w:rPr>
          <w:rFonts w:ascii="仿宋_GB2312"/>
          <w:szCs w:val="32"/>
        </w:rPr>
        <w:t>2.新型城镇化建设要求增强城市辐射带动作用</w:t>
      </w:r>
    </w:p>
    <w:p>
      <w:pPr>
        <w:spacing w:line="580" w:lineRule="exact"/>
        <w:ind w:firstLine="640" w:firstLineChars="200"/>
        <w:rPr>
          <w:rFonts w:ascii="仿宋_GB2312" w:hAnsi="等线"/>
          <w:szCs w:val="32"/>
        </w:rPr>
      </w:pPr>
      <w:r>
        <w:rPr>
          <w:rFonts w:hint="eastAsia" w:ascii="仿宋_GB2312"/>
          <w:szCs w:val="32"/>
        </w:rPr>
        <w:t>《国家新型城镇化规划》明确提出，增强中心城市辐射带动功能。推进中心城区功能向1小时交通圈地区扩散，培育形成通勤高效、一体发展的都市圈。《浙江省国民经济和社会发展第十四个五年规划和二</w:t>
      </w:r>
      <w:r>
        <w:rPr>
          <w:rFonts w:hint="eastAsia" w:ascii="宋体" w:hAnsi="宋体" w:eastAsia="宋体" w:cs="宋体"/>
          <w:szCs w:val="32"/>
        </w:rPr>
        <w:t>〇</w:t>
      </w:r>
      <w:r>
        <w:rPr>
          <w:rFonts w:hint="eastAsia" w:ascii="仿宋_GB2312" w:hAnsi="仿宋_GB2312" w:cs="仿宋_GB2312"/>
          <w:szCs w:val="32"/>
        </w:rPr>
        <w:t>三五年远景目标纲要》提出，构建以大都市区为引领、大中小城市和小城镇协调发展的新型城镇化格局，大力推进四大都市区建设，推动人口、产业、科创等要素向都市区集聚。要求综合交通枢纽进一步发挥承载要素流通、支撑空间布局、引导资源集聚、引领城市能级跃升的关键作用。</w:t>
      </w:r>
    </w:p>
    <w:p>
      <w:pPr>
        <w:spacing w:line="580" w:lineRule="exact"/>
        <w:ind w:firstLine="640" w:firstLineChars="200"/>
        <w:rPr>
          <w:rFonts w:hint="eastAsia" w:ascii="仿宋_GB2312"/>
          <w:szCs w:val="32"/>
        </w:rPr>
      </w:pPr>
      <w:r>
        <w:rPr>
          <w:rFonts w:ascii="仿宋_GB2312"/>
          <w:szCs w:val="32"/>
        </w:rPr>
        <w:t>3.国土空间开发保护要求集约高效配置交通资源</w:t>
      </w:r>
    </w:p>
    <w:p>
      <w:pPr>
        <w:spacing w:line="580" w:lineRule="exact"/>
        <w:ind w:firstLine="640" w:firstLineChars="200"/>
        <w:rPr>
          <w:rFonts w:ascii="仿宋_GB2312" w:hAnsi="等线"/>
          <w:szCs w:val="32"/>
        </w:rPr>
      </w:pPr>
      <w:r>
        <w:rPr>
          <w:rFonts w:hint="eastAsia" w:ascii="仿宋_GB2312"/>
          <w:szCs w:val="32"/>
        </w:rPr>
        <w:t>中共中央、国务院印发的《关于建立国土空间规划体系并监督实施的若干意见》提出，要科学布局生产空间、生活空间、生态空间，优化国土空间结构和布局，统筹地上地下空间综合利用，着力完善交通等基础设施。袁家军书记在听取全省“十四五”交通规划编制工作时提出，要进一步强化枢纽，突出城市综合交通枢纽概念。要求枢纽等基础设施综合集约配置，提高资源利用效率。</w:t>
      </w:r>
    </w:p>
    <w:p>
      <w:pPr>
        <w:spacing w:line="580" w:lineRule="exact"/>
        <w:ind w:firstLine="640" w:firstLineChars="200"/>
        <w:rPr>
          <w:rFonts w:hint="eastAsia" w:ascii="仿宋_GB2312"/>
          <w:szCs w:val="32"/>
        </w:rPr>
      </w:pPr>
      <w:r>
        <w:rPr>
          <w:rFonts w:ascii="仿宋_GB2312"/>
          <w:szCs w:val="32"/>
        </w:rPr>
        <w:t>4.建设人民满意交通要求立足人民出行获得感</w:t>
      </w:r>
    </w:p>
    <w:p>
      <w:pPr>
        <w:spacing w:line="580" w:lineRule="exact"/>
        <w:ind w:firstLine="640" w:firstLineChars="200"/>
        <w:rPr>
          <w:rFonts w:ascii="仿宋_GB2312" w:hAnsi="等线"/>
          <w:szCs w:val="32"/>
        </w:rPr>
      </w:pPr>
      <w:r>
        <w:rPr>
          <w:rFonts w:hint="eastAsia" w:ascii="仿宋_GB2312"/>
          <w:szCs w:val="32"/>
        </w:rPr>
        <w:t>交通强国建设战略将人民满意作为首要目标，提出人民享有美好服务的美好愿景。《浙江省国民经济和社会发展第十四个五年规划和二</w:t>
      </w:r>
      <w:r>
        <w:rPr>
          <w:rFonts w:hint="eastAsia" w:ascii="宋体" w:hAnsi="宋体" w:eastAsia="宋体" w:cs="宋体"/>
          <w:szCs w:val="32"/>
        </w:rPr>
        <w:t>〇</w:t>
      </w:r>
      <w:r>
        <w:rPr>
          <w:rFonts w:hint="eastAsia" w:ascii="仿宋_GB2312" w:hAnsi="仿宋_GB2312" w:cs="仿宋_GB2312"/>
          <w:szCs w:val="32"/>
        </w:rPr>
        <w:t>三五年远景目标纲要》也将努力打造人民幸福美好家园，数字化、高品质、个性化公共服务供给更加丰富多样作为“十四五”时期</w:t>
      </w:r>
      <w:r>
        <w:rPr>
          <w:rFonts w:hint="eastAsia" w:ascii="仿宋_GB2312"/>
          <w:szCs w:val="32"/>
        </w:rPr>
        <w:t>的努力方向。始终要求将增强人民出行的获得感幸福感作为出发点和立足点，不断满足人民对美好生活的向往。</w:t>
      </w:r>
    </w:p>
    <w:p>
      <w:pPr>
        <w:spacing w:line="580" w:lineRule="exact"/>
        <w:ind w:firstLine="640" w:firstLineChars="200"/>
        <w:outlineLvl w:val="1"/>
        <w:rPr>
          <w:rFonts w:hint="eastAsia" w:eastAsia="楷体_GB2312"/>
          <w:szCs w:val="32"/>
        </w:rPr>
      </w:pPr>
      <w:r>
        <w:rPr>
          <w:rFonts w:ascii="楷体_GB2312" w:eastAsia="楷体_GB2312"/>
          <w:szCs w:val="32"/>
        </w:rPr>
        <w:t>（二）需求预测</w:t>
      </w:r>
    </w:p>
    <w:p>
      <w:pPr>
        <w:spacing w:line="580" w:lineRule="exact"/>
        <w:ind w:firstLine="640" w:firstLineChars="200"/>
        <w:rPr>
          <w:rFonts w:ascii="仿宋_GB2312" w:hAnsi="等线"/>
          <w:szCs w:val="32"/>
        </w:rPr>
      </w:pPr>
      <w:r>
        <w:rPr>
          <w:rFonts w:hint="eastAsia" w:ascii="仿宋_GB2312"/>
          <w:szCs w:val="32"/>
        </w:rPr>
        <w:t>根据“十四五”时期交通运输发展面临的新机遇新挑战，交通运输以更好地保障国民经济循环畅通为重点，要求推动交通供需实现更高水平的动态平衡。</w:t>
      </w:r>
    </w:p>
    <w:p>
      <w:pPr>
        <w:spacing w:line="580" w:lineRule="exact"/>
        <w:ind w:firstLine="640" w:firstLineChars="200"/>
        <w:rPr>
          <w:rFonts w:hint="eastAsia" w:ascii="仿宋_GB2312"/>
          <w:szCs w:val="32"/>
        </w:rPr>
      </w:pPr>
      <w:r>
        <w:rPr>
          <w:rFonts w:ascii="仿宋_GB2312"/>
          <w:szCs w:val="32"/>
        </w:rPr>
        <w:t>1.客运需求</w:t>
      </w:r>
    </w:p>
    <w:p>
      <w:pPr>
        <w:spacing w:line="580" w:lineRule="exact"/>
        <w:ind w:firstLine="640" w:firstLineChars="200"/>
        <w:rPr>
          <w:szCs w:val="32"/>
        </w:rPr>
      </w:pPr>
      <w:r>
        <w:rPr>
          <w:rFonts w:ascii="仿宋_GB2312"/>
          <w:szCs w:val="32"/>
        </w:rPr>
        <w:t>客运总量稳步增长。</w:t>
      </w:r>
      <w:r>
        <w:rPr>
          <w:rFonts w:hint="eastAsia" w:ascii="仿宋_GB2312"/>
          <w:szCs w:val="32"/>
        </w:rPr>
        <w:t>我省人口净流入水平连续多年居全国前列，净流入规模持续扩大，“十四五”时期，人口总量仍将保持增长趋势。全省城镇化发展将迈入增速放缓、结构优化的新阶段，城镇化质量明显提升，常住人口城镇化率达到75%左右，产生更多客运需求。</w:t>
      </w:r>
    </w:p>
    <w:p>
      <w:pPr>
        <w:spacing w:line="580" w:lineRule="exact"/>
        <w:ind w:firstLine="640" w:firstLineChars="200"/>
        <w:rPr>
          <w:szCs w:val="32"/>
        </w:rPr>
      </w:pPr>
      <w:r>
        <w:rPr>
          <w:rFonts w:ascii="仿宋_GB2312"/>
          <w:szCs w:val="32"/>
        </w:rPr>
        <w:t>客运结构逐渐调整。</w:t>
      </w:r>
      <w:r>
        <w:rPr>
          <w:rFonts w:hint="eastAsia" w:ascii="仿宋_GB2312"/>
          <w:szCs w:val="32"/>
        </w:rPr>
        <w:t>城际客运需求高速增长。随着长三角更高质量一体化发展，都市圈联系将更加紧密，省内城市与长三角城市之间的通道作用将更加显著、客流密度更大，高铁、城际铁路、市域（郊）铁路的快速出行作用将进一步突出。都市区客运需求进一步集聚。受人口分布、城镇化进程等影响，人口将持续向四大都市区流动集聚，杭州、宁波等四大都市区城镇化水平继续保持全省领先。城乡人口双向循环流动速率进一步加快，农村客运服务体验不断优化。</w:t>
      </w:r>
    </w:p>
    <w:p>
      <w:pPr>
        <w:spacing w:line="580" w:lineRule="exact"/>
        <w:ind w:firstLine="640" w:firstLineChars="200"/>
        <w:rPr>
          <w:szCs w:val="32"/>
        </w:rPr>
      </w:pPr>
      <w:r>
        <w:rPr>
          <w:rFonts w:ascii="仿宋_GB2312"/>
          <w:szCs w:val="32"/>
        </w:rPr>
        <w:t>出行更注重品质化。</w:t>
      </w:r>
      <w:r>
        <w:rPr>
          <w:rFonts w:hint="eastAsia" w:ascii="仿宋_GB2312"/>
          <w:szCs w:val="32"/>
        </w:rPr>
        <w:t>私人交通和中短途出行需求快速增长。随着居民收入水平提高、汽车保有量增加以及共享出行模式的发展，特色化、定制化出行逐步推广。同时受到公共卫生事件影响，一定时期内选择私人交通方式出行的比重将增加较快，国际航空客运、道路长途旅客运输等公共交通出行比重相对下降。</w:t>
      </w:r>
    </w:p>
    <w:p>
      <w:pPr>
        <w:spacing w:line="580" w:lineRule="exact"/>
        <w:ind w:firstLine="640" w:firstLineChars="200"/>
        <w:rPr>
          <w:rFonts w:ascii="仿宋_GB2312"/>
          <w:szCs w:val="32"/>
        </w:rPr>
      </w:pPr>
      <w:r>
        <w:rPr>
          <w:rFonts w:ascii="仿宋_GB2312"/>
          <w:szCs w:val="32"/>
        </w:rPr>
        <w:t>2.货运需求</w:t>
      </w:r>
    </w:p>
    <w:p>
      <w:pPr>
        <w:spacing w:line="580" w:lineRule="exact"/>
        <w:ind w:firstLine="640" w:firstLineChars="200"/>
        <w:rPr>
          <w:rFonts w:ascii="仿宋_GB2312" w:hAnsi="等线"/>
          <w:szCs w:val="32"/>
        </w:rPr>
      </w:pPr>
      <w:r>
        <w:rPr>
          <w:rFonts w:ascii="仿宋_GB2312"/>
          <w:szCs w:val="32"/>
        </w:rPr>
        <w:t>货运总量持续增长。</w:t>
      </w:r>
      <w:r>
        <w:rPr>
          <w:rFonts w:hint="eastAsia" w:ascii="仿宋_GB2312"/>
          <w:szCs w:val="32"/>
        </w:rPr>
        <w:t>“十四五”时期，全省生产总值、人均生产总值稳步增长，分别突破8.5万亿元、13万元，达到基本现代化平均值，科技创新能力、产业国际竞争力、民营经济发展水平和城乡区域协调性全面增强，经济产业全面转向高质量发展，产业结构不断优化，服务业占比预计超65%，带来更多货运需求。</w:t>
      </w:r>
    </w:p>
    <w:p>
      <w:pPr>
        <w:spacing w:line="580" w:lineRule="exact"/>
        <w:ind w:firstLine="640" w:firstLineChars="200"/>
        <w:rPr>
          <w:rFonts w:hint="eastAsia"/>
          <w:szCs w:val="32"/>
        </w:rPr>
      </w:pPr>
      <w:r>
        <w:rPr>
          <w:rFonts w:ascii="仿宋_GB2312"/>
          <w:szCs w:val="32"/>
        </w:rPr>
        <w:t>货运结构进一步优化。</w:t>
      </w:r>
      <w:r>
        <w:rPr>
          <w:rFonts w:hint="eastAsia" w:ascii="仿宋_GB2312"/>
          <w:szCs w:val="32"/>
        </w:rPr>
        <w:t>沿海港口矿石、煤炭、石油等大宗商品的中转需求增速趋于稳定，集装箱运输增长较快。新发展格局逐步构建完善，促使高铁快运和国际航空货邮运输、内贸集装箱等迅速增长。随着电子商务的发展、生鲜产品的品质需求日益提高、农村物流体系的进一步完善，电商快递物流、冷链运输、农村物流需求持续增长。但受到公共卫生事件影响，未来一定时期内生活性必需品运输规模基本保持稳定，防疫物资运输需求增加较大，其他非生活必需品需求相对下降，国际远洋渔业等也受到一定影响。</w:t>
      </w:r>
    </w:p>
    <w:p>
      <w:pPr>
        <w:spacing w:line="580" w:lineRule="exact"/>
        <w:ind w:firstLine="640" w:firstLineChars="200"/>
        <w:rPr>
          <w:szCs w:val="32"/>
        </w:rPr>
      </w:pPr>
      <w:r>
        <w:rPr>
          <w:rFonts w:ascii="仿宋_GB2312"/>
          <w:szCs w:val="32"/>
        </w:rPr>
        <w:t>区域、城乡循环更加强劲。</w:t>
      </w:r>
      <w:r>
        <w:rPr>
          <w:rFonts w:hint="eastAsia" w:ascii="仿宋_GB2312"/>
          <w:szCs w:val="32"/>
        </w:rPr>
        <w:t>“十四五”时期我省经济在质量效益明显提升基础上实现持续健康较快发展，新发展格局将显著改变生产流通消费的运输需求。随着区域产业体系更加完善，区域、城乡物资循环更加强劲，以都市区和城市群为载体的区域内循环不断强化，物流大通道物资流通显著增加，物流大节点货物转运及通过量增加明显；城乡融合进一步加深，城乡物资流通规模、时效性不断扩大增强。新经济新业态新模式的发展，也将改变传统产业形态。</w:t>
      </w:r>
    </w:p>
    <w:p>
      <w:pPr>
        <w:spacing w:line="580" w:lineRule="exact"/>
        <w:ind w:firstLine="640" w:firstLineChars="200"/>
        <w:rPr>
          <w:rFonts w:ascii="仿宋_GB2312"/>
          <w:szCs w:val="32"/>
        </w:rPr>
      </w:pPr>
      <w:r>
        <w:rPr>
          <w:rFonts w:ascii="仿宋_GB2312"/>
          <w:szCs w:val="32"/>
        </w:rPr>
        <w:t>3.总需求</w:t>
      </w:r>
    </w:p>
    <w:p>
      <w:pPr>
        <w:spacing w:line="580" w:lineRule="exact"/>
        <w:ind w:firstLine="640" w:firstLineChars="200"/>
        <w:rPr>
          <w:rFonts w:ascii="仿宋_GB2312" w:hAnsi="等线"/>
          <w:szCs w:val="32"/>
        </w:rPr>
      </w:pPr>
      <w:r>
        <w:rPr>
          <w:rFonts w:hint="eastAsia" w:ascii="仿宋_GB2312"/>
          <w:szCs w:val="32"/>
        </w:rPr>
        <w:t>通过对宏观经济发展阶段性特征对交通运输发展需求的分析，综合考虑公共卫生事件、构建双循环新发展格局等因素的影响，预测“十四五”期间综合客、货运输总量增速放缓，分别年均增长约4.1%、6.4%。随着铁路建设的加快推进、内河水运的逐步振兴以及航空运输的快速发展，铁路、水运、航空的承运比例将进一步提高，综合交通运输结构逐步得到优化，各种方式的运输分担率将趋向合理。</w:t>
      </w:r>
    </w:p>
    <w:p>
      <w:pPr>
        <w:pStyle w:val="2"/>
        <w:spacing w:line="580" w:lineRule="exact"/>
        <w:ind w:firstLine="640" w:firstLineChars="200"/>
        <w:rPr>
          <w:rFonts w:hint="eastAsia" w:ascii="Times New Roman" w:hAnsi="Times New Roman"/>
          <w:bCs/>
        </w:rPr>
      </w:pPr>
      <w:r>
        <w:rPr>
          <w:rFonts w:ascii="黑体" w:hAnsi="黑体"/>
          <w:bCs/>
        </w:rPr>
        <w:t>三、总体要求</w:t>
      </w:r>
    </w:p>
    <w:p>
      <w:pPr>
        <w:spacing w:line="580" w:lineRule="exact"/>
        <w:ind w:firstLine="640" w:firstLineChars="200"/>
        <w:outlineLvl w:val="1"/>
        <w:rPr>
          <w:rFonts w:eastAsia="楷体_GB2312"/>
          <w:szCs w:val="32"/>
        </w:rPr>
      </w:pPr>
      <w:r>
        <w:rPr>
          <w:rFonts w:ascii="楷体_GB2312" w:eastAsia="楷体_GB2312"/>
          <w:szCs w:val="32"/>
        </w:rPr>
        <w:t>（一）指导思想</w:t>
      </w:r>
    </w:p>
    <w:p>
      <w:pPr>
        <w:spacing w:line="580" w:lineRule="exact"/>
        <w:ind w:firstLine="640" w:firstLineChars="200"/>
        <w:rPr>
          <w:rFonts w:ascii="仿宋_GB2312" w:hAnsi="等线"/>
          <w:szCs w:val="32"/>
        </w:rPr>
      </w:pPr>
      <w:r>
        <w:rPr>
          <w:rFonts w:hint="eastAsia" w:ascii="仿宋_GB2312"/>
          <w:szCs w:val="32"/>
        </w:rPr>
        <w:t>坚持以习近平新时代中国特色社会主义思想为指导，立足新发展阶段、贯彻新发展理念、构建新发展格局，深入贯彻国家和省委省政府重大战略部署，落实交通强国建设要求，忠实践行“八八战略”，奋力打造“重要窗口”，落实交通强国建设及构建国家综合立体交通网总体要求，全面推进高水平交通强省建设，以提升城市综合实力为导向，加快建设枢纽上的城市，推进综合交通枢纽与城市发展系统化深度化融合，着力提高要素衔接转换水平和流通效率，引导城市空间、产业集约布局，全面支撑城市区域能级提升，切实增强人民生活幸福感获得感，全力构建现代化综合交通运输体系，为浙江交通争当社会主义先行省的先行官做好支撑。</w:t>
      </w:r>
    </w:p>
    <w:p>
      <w:pPr>
        <w:spacing w:line="580" w:lineRule="exact"/>
        <w:ind w:firstLine="640" w:firstLineChars="200"/>
        <w:outlineLvl w:val="1"/>
        <w:rPr>
          <w:rFonts w:hint="eastAsia" w:eastAsia="楷体_GB2312"/>
          <w:szCs w:val="32"/>
        </w:rPr>
      </w:pPr>
      <w:r>
        <w:rPr>
          <w:rFonts w:ascii="楷体_GB2312" w:eastAsia="楷体_GB2312"/>
          <w:szCs w:val="32"/>
        </w:rPr>
        <w:t>（二）基本原则</w:t>
      </w:r>
    </w:p>
    <w:p>
      <w:pPr>
        <w:spacing w:line="580" w:lineRule="exact"/>
        <w:ind w:firstLine="640" w:firstLineChars="200"/>
        <w:rPr>
          <w:rFonts w:ascii="仿宋_GB2312"/>
          <w:szCs w:val="32"/>
        </w:rPr>
      </w:pPr>
      <w:r>
        <w:rPr>
          <w:rFonts w:ascii="仿宋_GB2312"/>
          <w:szCs w:val="32"/>
        </w:rPr>
        <w:t>全局谋划、注重定位。</w:t>
      </w:r>
      <w:r>
        <w:rPr>
          <w:rFonts w:hint="eastAsia" w:ascii="仿宋_GB2312"/>
          <w:szCs w:val="32"/>
        </w:rPr>
        <w:t>以城市作为大枢纽进行全局谋划，充分考虑城市空间、人口、产业布局及既有枢纽等因素，统筹各类交通枢纽，系统综合布局，形成与城市发展能级相匹配的开放多层高效的客货运枢纽体系。</w:t>
      </w:r>
    </w:p>
    <w:p>
      <w:pPr>
        <w:spacing w:line="580" w:lineRule="exact"/>
        <w:ind w:firstLine="640" w:firstLineChars="200"/>
        <w:rPr>
          <w:b/>
          <w:bCs/>
          <w:szCs w:val="32"/>
        </w:rPr>
      </w:pPr>
      <w:r>
        <w:rPr>
          <w:rFonts w:ascii="仿宋_GB2312"/>
          <w:szCs w:val="32"/>
        </w:rPr>
        <w:t>强化衔接、优化集疏。</w:t>
      </w:r>
      <w:r>
        <w:rPr>
          <w:rFonts w:hint="eastAsia" w:ascii="仿宋_GB2312"/>
          <w:szCs w:val="32"/>
        </w:rPr>
        <w:t>立足多元立体、有机融合，强化交通资源整合和利用，着力解决各种运输方式衔接不畅问题，加强客运枢纽内部立体集约、外部高效衔接，提升枢纽网络集疏运效率和能级。</w:t>
      </w:r>
    </w:p>
    <w:p>
      <w:pPr>
        <w:spacing w:line="580" w:lineRule="exact"/>
        <w:ind w:firstLine="640" w:firstLineChars="200"/>
        <w:rPr>
          <w:rFonts w:ascii="仿宋_GB2312"/>
          <w:szCs w:val="32"/>
        </w:rPr>
      </w:pPr>
      <w:r>
        <w:rPr>
          <w:rFonts w:ascii="仿宋_GB2312"/>
          <w:szCs w:val="32"/>
        </w:rPr>
        <w:t>集约高效、生态优先。</w:t>
      </w:r>
      <w:r>
        <w:rPr>
          <w:rFonts w:hint="eastAsia" w:ascii="仿宋_GB2312"/>
          <w:szCs w:val="32"/>
        </w:rPr>
        <w:t>坚持客运零换乘、货运无缝衔接，大型客运枢纽合理集约集成，货运枢纽因地制宜整合提升，打造生态环保型综合交通枢纽，实现可持续发展。</w:t>
      </w:r>
    </w:p>
    <w:p>
      <w:pPr>
        <w:spacing w:line="580" w:lineRule="exact"/>
        <w:ind w:firstLine="640" w:firstLineChars="200"/>
        <w:rPr>
          <w:rFonts w:ascii="仿宋_GB2312"/>
          <w:szCs w:val="32"/>
        </w:rPr>
      </w:pPr>
      <w:r>
        <w:rPr>
          <w:rFonts w:ascii="仿宋_GB2312"/>
          <w:szCs w:val="32"/>
        </w:rPr>
        <w:t>服务为本、智慧赋能。</w:t>
      </w:r>
      <w:r>
        <w:rPr>
          <w:rFonts w:hint="eastAsia" w:ascii="仿宋_GB2312"/>
          <w:szCs w:val="32"/>
        </w:rPr>
        <w:t>围绕浙江高质量发展建设共同富裕示范区，突出以人民为中心，从人民使用的满意度、获得感出发，协调运输组织，打造智慧枢纽，提高一体化运行效率，实现客运高速化、货运物流化和管理智能化。</w:t>
      </w:r>
    </w:p>
    <w:p>
      <w:pPr>
        <w:spacing w:line="580" w:lineRule="exact"/>
        <w:ind w:firstLine="640" w:firstLineChars="200"/>
        <w:rPr>
          <w:szCs w:val="32"/>
        </w:rPr>
      </w:pPr>
      <w:r>
        <w:rPr>
          <w:rFonts w:ascii="仿宋_GB2312"/>
          <w:szCs w:val="32"/>
        </w:rPr>
        <w:t>功能融合、模式创新。</w:t>
      </w:r>
      <w:r>
        <w:rPr>
          <w:rFonts w:hint="eastAsia" w:ascii="仿宋_GB2312"/>
          <w:szCs w:val="32"/>
        </w:rPr>
        <w:t>依托综合交通枢纽，完善枢纽内部及周边产业功能，引导优化人流、物流、信息流、资金流等要素集聚，打造“圈层拓展+站城融合”和“交通＋物流＋产业”的枢纽经济发展新模式。</w:t>
      </w:r>
    </w:p>
    <w:p>
      <w:pPr>
        <w:spacing w:line="580" w:lineRule="exact"/>
        <w:ind w:firstLine="640" w:firstLineChars="200"/>
        <w:outlineLvl w:val="1"/>
        <w:rPr>
          <w:rFonts w:eastAsia="楷体_GB2312"/>
          <w:szCs w:val="32"/>
        </w:rPr>
      </w:pPr>
      <w:r>
        <w:rPr>
          <w:rFonts w:ascii="楷体_GB2312" w:eastAsia="楷体_GB2312"/>
          <w:szCs w:val="32"/>
        </w:rPr>
        <w:t>（三）发展目标</w:t>
      </w:r>
    </w:p>
    <w:p>
      <w:pPr>
        <w:spacing w:line="580" w:lineRule="exact"/>
        <w:ind w:firstLine="640" w:firstLineChars="200"/>
        <w:rPr>
          <w:rFonts w:ascii="仿宋_GB2312" w:hAnsi="等线"/>
          <w:szCs w:val="32"/>
        </w:rPr>
      </w:pPr>
      <w:r>
        <w:rPr>
          <w:rFonts w:hint="eastAsia" w:ascii="仿宋_GB2312"/>
          <w:szCs w:val="32"/>
        </w:rPr>
        <w:t>建设枢纽上的城市，到2025年，形成四级联动、多向辐射、智慧低碳、经济引领的现代综合交通枢纽体系，共建长三角国际性综合交通枢纽集群，基本建成以国际性综合交通枢纽城市、国际铁路枢纽、国际枢纽海港为核心，以全国性综合交通枢纽城市联动区域性综合交通枢纽城市的全省多层次协同的综合交通枢纽网络。枢纽能级、衔接转换效率、枢纽经济服务功能大幅提升，综合客运枢纽平均换乘时间8分钟，港口实现2小时内换装，设区市中心城区实现30分钟进机场、高铁站，城市中心至各城区基本实现1小时通达，智慧枢纽达到65个，基本建成出行即服务应用体系，实现“一票制”旅客联程联运，货运“一单制”服务体系落地见效，形成一批站城一体、港产城融合发展的标志性成果，基本实现人享其行、货畅其流。</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330" w:type="dxa"/>
            <w:tcBorders>
              <w:top w:val="single" w:color="auto" w:sz="4" w:space="0"/>
              <w:left w:val="single" w:color="auto" w:sz="4" w:space="0"/>
              <w:bottom w:val="single" w:color="auto" w:sz="4" w:space="0"/>
              <w:right w:val="single" w:color="auto" w:sz="4" w:space="0"/>
            </w:tcBorders>
            <w:shd w:val="clear" w:color="auto" w:fill="auto"/>
            <w:noWrap w:val="0"/>
            <w:vAlign w:val="top"/>
          </w:tcPr>
          <w:p>
            <w:pPr>
              <w:spacing w:before="120" w:beforeLines="50"/>
              <w:jc w:val="center"/>
              <w:rPr>
                <w:rFonts w:ascii="黑体" w:hAnsi="黑体" w:eastAsia="黑体"/>
                <w:kern w:val="0"/>
                <w:sz w:val="24"/>
                <w:szCs w:val="24"/>
              </w:rPr>
            </w:pPr>
            <w:r>
              <w:rPr>
                <w:rFonts w:ascii="黑体" w:hAnsi="黑体" w:eastAsia="黑体"/>
                <w:kern w:val="0"/>
                <w:sz w:val="24"/>
                <w:szCs w:val="24"/>
              </w:rPr>
              <w:t>专栏1  浙江省综合交通枢纽“十四五”六大标志性工程</w:t>
            </w:r>
          </w:p>
          <w:p>
            <w:pPr>
              <w:spacing w:line="400" w:lineRule="exact"/>
              <w:ind w:firstLine="480" w:firstLineChars="200"/>
              <w:rPr>
                <w:rFonts w:hint="eastAsia" w:ascii="仿宋_GB2312"/>
                <w:kern w:val="0"/>
                <w:sz w:val="24"/>
                <w:szCs w:val="24"/>
              </w:rPr>
            </w:pPr>
            <w:r>
              <w:rPr>
                <w:rFonts w:hint="eastAsia" w:ascii="仿宋_GB2312"/>
                <w:kern w:val="0"/>
                <w:sz w:val="24"/>
                <w:szCs w:val="24"/>
              </w:rPr>
              <w:t>1.空铁枢纽引领工程。围绕杭州机场、宁波机场、温州机场、金义机场，加快实现空铁高效换乘，无缝衔接城市轨道线网，推动枢纽扩能提效，加快培育国际航空枢纽功能，打造空铁联运龙头型门户枢纽，充分发挥极核引领作用，全面支撑四大都市区能级提升。</w:t>
            </w:r>
          </w:p>
          <w:p>
            <w:pPr>
              <w:spacing w:line="400" w:lineRule="exact"/>
              <w:ind w:firstLine="480" w:firstLineChars="200"/>
              <w:rPr>
                <w:rFonts w:hint="eastAsia" w:ascii="仿宋_GB2312"/>
                <w:kern w:val="0"/>
                <w:sz w:val="24"/>
                <w:szCs w:val="24"/>
              </w:rPr>
            </w:pPr>
            <w:r>
              <w:rPr>
                <w:rFonts w:hint="eastAsia" w:ascii="仿宋_GB2312"/>
                <w:kern w:val="0"/>
                <w:sz w:val="24"/>
                <w:szCs w:val="24"/>
              </w:rPr>
              <w:t>2.站城融合标杆工程。以TOD理念为指引，坚持“功能复合、站城一体”，积极推进枢纽综合立体开发，聚焦杭州西站、宁波西站、温州东站、金义站等重要客运枢纽，加快实现从单一交通枢纽向一体化综合枢纽的跨越提升，打造城市经济发展新的增长极，引领城市发展格局。</w:t>
            </w:r>
          </w:p>
          <w:p>
            <w:pPr>
              <w:spacing w:line="400" w:lineRule="exact"/>
              <w:ind w:firstLine="480" w:firstLineChars="200"/>
              <w:rPr>
                <w:rFonts w:hint="eastAsia" w:ascii="仿宋_GB2312"/>
                <w:kern w:val="0"/>
                <w:sz w:val="24"/>
                <w:szCs w:val="24"/>
              </w:rPr>
            </w:pPr>
            <w:r>
              <w:rPr>
                <w:rFonts w:hint="eastAsia" w:ascii="仿宋_GB2312"/>
                <w:kern w:val="0"/>
                <w:sz w:val="24"/>
                <w:szCs w:val="24"/>
              </w:rPr>
              <w:t>3.多式联运支点撬动工程。依托浙中多式联运枢纽港、湖州公铁水综合物流园区等综合货运枢纽，加快推进多式联运的发展，重点打造空公铁、铁公水</w:t>
            </w:r>
            <w:r>
              <w:rPr>
                <w:rFonts w:ascii="仿宋_GB2312"/>
                <w:kern w:val="0"/>
                <w:sz w:val="24"/>
                <w:szCs w:val="24"/>
              </w:rPr>
              <w:t>、海</w:t>
            </w:r>
            <w:r>
              <w:rPr>
                <w:rFonts w:hint="eastAsia" w:ascii="仿宋_GB2312"/>
                <w:kern w:val="0"/>
                <w:sz w:val="24"/>
                <w:szCs w:val="24"/>
              </w:rPr>
              <w:t>河、江海等联运型货运枢纽，建立促双循环现代物流体系，提高综合货运枢纽服务效能，实现市场、贸易、物流的高度融合。</w:t>
            </w:r>
          </w:p>
          <w:p>
            <w:pPr>
              <w:spacing w:line="400" w:lineRule="exact"/>
              <w:ind w:firstLine="480" w:firstLineChars="200"/>
              <w:rPr>
                <w:rFonts w:hint="eastAsia" w:ascii="仿宋_GB2312"/>
                <w:kern w:val="0"/>
                <w:sz w:val="24"/>
                <w:szCs w:val="24"/>
              </w:rPr>
            </w:pPr>
            <w:r>
              <w:rPr>
                <w:rFonts w:hint="eastAsia" w:ascii="仿宋_GB2312"/>
                <w:kern w:val="0"/>
                <w:sz w:val="24"/>
                <w:szCs w:val="24"/>
              </w:rPr>
              <w:t>4.港产城创新示范工程。重点依托杭州空港片物流园区、宁波空港综合货运枢纽、义乌国际陆港等枢纽，全面优化临港产业布局，强化陆港、海港与空港协同联动，创新与制造业、服务业等周边产业融合联动方式，完善联运服务体系，推动港产城融合高质量发展新模式。</w:t>
            </w:r>
          </w:p>
          <w:p>
            <w:pPr>
              <w:spacing w:line="400" w:lineRule="exact"/>
              <w:ind w:firstLine="480" w:firstLineChars="200"/>
              <w:rPr>
                <w:rFonts w:hint="eastAsia" w:ascii="仿宋_GB2312"/>
                <w:kern w:val="0"/>
                <w:sz w:val="24"/>
                <w:szCs w:val="24"/>
              </w:rPr>
            </w:pPr>
            <w:r>
              <w:rPr>
                <w:rFonts w:hint="eastAsia" w:ascii="仿宋_GB2312"/>
                <w:kern w:val="0"/>
                <w:sz w:val="24"/>
                <w:szCs w:val="24"/>
              </w:rPr>
              <w:t>5.现代化城乡枢纽网络工程。以推进城乡一体化为重点，发挥小城市、中心城镇在统筹城乡交通一体化发展中的节点作用，推进城乡客货运输站场建设，提升铁路站、通用机场、公路站场覆盖率，加强与区域性综合枢纽的衔接，提升城乡之间旅客和货物的便捷集散能力，推进客运站点建设，推进城乡客运一体化，完善城乡物流网络节点，降低物流配送成本，提高物流配送效率。</w:t>
            </w:r>
          </w:p>
          <w:p>
            <w:pPr>
              <w:spacing w:line="400" w:lineRule="exact"/>
              <w:ind w:firstLine="480" w:firstLineChars="200"/>
              <w:rPr>
                <w:kern w:val="0"/>
                <w:sz w:val="24"/>
                <w:szCs w:val="24"/>
              </w:rPr>
            </w:pPr>
            <w:r>
              <w:rPr>
                <w:rFonts w:hint="eastAsia" w:ascii="仿宋_GB2312"/>
                <w:kern w:val="0"/>
                <w:sz w:val="24"/>
                <w:szCs w:val="24"/>
              </w:rPr>
              <w:t>6.智慧低碳枢纽样板工程。建设杭州西站、杭州机场、宁波机场、温州机场等智慧客运枢纽及综合客运枢纽智慧化监管项目，促进交通与城市协调发展，打造低碳生活模式；推进华东联运新城多式联运集结地、杭州传化公路港智慧枢纽网等智慧货运枢纽项目，做好多式联运的枢纽衔接，提高不同运输方式一体化协同水平，全面优化调整交通运输结构</w:t>
            </w:r>
            <w:r>
              <w:rPr>
                <w:rFonts w:ascii="仿宋_GB2312"/>
                <w:kern w:val="0"/>
                <w:sz w:val="24"/>
                <w:szCs w:val="24"/>
              </w:rPr>
              <w:t>。</w:t>
            </w:r>
          </w:p>
        </w:tc>
      </w:tr>
    </w:tbl>
    <w:p>
      <w:pPr>
        <w:spacing w:before="120" w:beforeLines="50" w:after="120" w:afterLines="50" w:line="580" w:lineRule="exact"/>
        <w:jc w:val="center"/>
        <w:rPr>
          <w:rFonts w:hint="eastAsia" w:ascii="黑体" w:hAnsi="黑体" w:eastAsia="黑体"/>
          <w:szCs w:val="32"/>
        </w:rPr>
      </w:pPr>
      <w:r>
        <w:rPr>
          <w:rFonts w:ascii="黑体" w:hAnsi="黑体" w:eastAsia="黑体"/>
          <w:sz w:val="28"/>
          <w:szCs w:val="28"/>
        </w:rPr>
        <w:t>表1 浙江省综合交通枢纽“十四五”发展指标表</w:t>
      </w:r>
    </w:p>
    <w:tbl>
      <w:tblPr>
        <w:tblStyle w:val="5"/>
        <w:tblW w:w="495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5491"/>
        <w:gridCol w:w="1257"/>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ascii="黑体" w:hAnsi="黑体" w:eastAsia="黑体"/>
              </w:rPr>
            </w:pPr>
            <w:bookmarkStart w:id="0" w:name="_Toc72832164"/>
            <w:r>
              <w:rPr>
                <w:rFonts w:ascii="黑体" w:hAnsi="黑体" w:eastAsia="黑体"/>
              </w:rPr>
              <w:t>序号</w:t>
            </w:r>
            <w:bookmarkEnd w:id="0"/>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ascii="黑体" w:hAnsi="黑体" w:eastAsia="黑体"/>
              </w:rPr>
            </w:pPr>
            <w:r>
              <w:rPr>
                <w:rFonts w:ascii="黑体" w:hAnsi="黑体" w:eastAsia="黑体"/>
              </w:rPr>
              <w:t>指标</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ascii="黑体" w:hAnsi="黑体" w:eastAsia="黑体"/>
              </w:rPr>
            </w:pPr>
            <w:r>
              <w:rPr>
                <w:rFonts w:ascii="黑体" w:hAnsi="黑体" w:eastAsia="黑体"/>
              </w:rPr>
              <w:t>2020年</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ascii="黑体" w:hAnsi="黑体" w:eastAsia="黑体"/>
              </w:rPr>
            </w:pPr>
            <w:r>
              <w:rPr>
                <w:rFonts w:ascii="黑体" w:hAnsi="黑体" w:eastAsia="黑体"/>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沿海万吨级以上泊位数（个）</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265</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2</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运输机场旅客吞吐能力（万人次）</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6400</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3</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运输机场货邮吞吐能力（万吨）</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160</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4</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A类通用机场个数（个）</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11</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5</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综合客运枢纽（个）</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66</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6</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综合货运枢纽（个）</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17</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7</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沿海港口总吞吐量（亿吨）</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14</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8</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沿海港口集装箱吞吐量（万标箱）</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3219</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9</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内河港口货物吞吐量（亿吨）</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4.4</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10</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运输机场旅客吞吐量（万人次）</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7015</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11</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运输机场货邮吞吐量（万吨）</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90</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12</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江海联运量（亿吨）</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3.5</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13</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海铁联运集装箱量（万标箱）</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100</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14</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内河集装箱吞吐量（万标箱）</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100</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eastAsia" w:ascii="仿宋_GB2312"/>
                <w:sz w:val="24"/>
                <w:szCs w:val="24"/>
              </w:rPr>
            </w:pPr>
            <w:r>
              <w:rPr>
                <w:rFonts w:hint="eastAsia" w:ascii="仿宋_GB2312"/>
                <w:sz w:val="24"/>
                <w:szCs w:val="24"/>
              </w:rPr>
              <w:t>15</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sz w:val="24"/>
                <w:szCs w:val="24"/>
              </w:rPr>
            </w:pPr>
            <w:r>
              <w:rPr>
                <w:rFonts w:hint="eastAsia" w:ascii="仿宋_GB2312"/>
                <w:sz w:val="24"/>
                <w:szCs w:val="24"/>
              </w:rPr>
              <w:t>大中城市中心城区绿色出行比例（%）</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sz w:val="24"/>
                <w:szCs w:val="24"/>
              </w:rPr>
            </w:pPr>
            <w:r>
              <w:rPr>
                <w:rFonts w:hint="eastAsia" w:ascii="仿宋_GB2312"/>
                <w:sz w:val="24"/>
                <w:szCs w:val="24"/>
              </w:rPr>
              <w:t>70</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jc w:val="center"/>
              <w:rPr>
                <w:rFonts w:hint="eastAsia" w:ascii="仿宋_GB2312"/>
                <w:sz w:val="24"/>
                <w:szCs w:val="24"/>
              </w:rPr>
            </w:pPr>
            <w:r>
              <w:rPr>
                <w:rFonts w:hint="eastAsia" w:ascii="仿宋_GB2312"/>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16</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设区市城区30分钟进机场、高铁站比率（%）</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63</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17</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综合客运枢纽平均换乘时间（分钟 ）</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10</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18</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港口换装时间（小时）</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3</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19</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单位周转量物流总费用（元/吨公里）</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0.7</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20</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城乡物流节点县级行政区覆盖率（%）</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75</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21</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建制村快递物流服务覆盖率（%）</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79.6</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0" w:type="pct"/>
            <w:tcBorders>
              <w:top w:val="single" w:color="auto" w:sz="4" w:space="0"/>
              <w:left w:val="single" w:color="auto" w:sz="4" w:space="0"/>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22</w:t>
            </w:r>
          </w:p>
        </w:tc>
        <w:tc>
          <w:tcPr>
            <w:tcW w:w="3129"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智慧枢纽个数（个）</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19</w:t>
            </w:r>
          </w:p>
        </w:tc>
        <w:tc>
          <w:tcPr>
            <w:tcW w:w="716" w:type="pct"/>
            <w:tcBorders>
              <w:top w:val="single" w:color="auto" w:sz="4" w:space="0"/>
              <w:left w:val="nil"/>
              <w:bottom w:val="single" w:color="auto" w:sz="4" w:space="0"/>
              <w:right w:val="single" w:color="auto" w:sz="4" w:space="0"/>
            </w:tcBorders>
            <w:shd w:val="clear" w:color="auto" w:fill="auto"/>
            <w:noWrap w:val="0"/>
            <w:vAlign w:val="center"/>
          </w:tcPr>
          <w:p>
            <w:pPr>
              <w:pStyle w:val="7"/>
              <w:rPr>
                <w:rFonts w:hint="eastAsia" w:ascii="仿宋_GB2312"/>
              </w:rPr>
            </w:pPr>
            <w:r>
              <w:rPr>
                <w:rFonts w:hint="eastAsia" w:ascii="仿宋_GB2312"/>
              </w:rPr>
              <w:t>65</w:t>
            </w:r>
          </w:p>
        </w:tc>
      </w:tr>
    </w:tbl>
    <w:p>
      <w:pPr>
        <w:pStyle w:val="2"/>
        <w:spacing w:line="580" w:lineRule="exact"/>
        <w:ind w:firstLine="640" w:firstLineChars="200"/>
        <w:rPr>
          <w:rFonts w:ascii="Times New Roman" w:hAnsi="Times New Roman"/>
          <w:bCs/>
        </w:rPr>
      </w:pPr>
      <w:r>
        <w:rPr>
          <w:rFonts w:ascii="黑体" w:hAnsi="黑体"/>
          <w:bCs/>
        </w:rPr>
        <w:t>四、重点任务</w:t>
      </w:r>
    </w:p>
    <w:p>
      <w:pPr>
        <w:snapToGrid w:val="0"/>
        <w:spacing w:line="580" w:lineRule="exact"/>
        <w:ind w:firstLine="640" w:firstLineChars="200"/>
        <w:outlineLvl w:val="1"/>
        <w:rPr>
          <w:rFonts w:eastAsia="楷体_GB2312"/>
          <w:szCs w:val="32"/>
        </w:rPr>
      </w:pPr>
      <w:r>
        <w:rPr>
          <w:rFonts w:ascii="楷体_GB2312" w:eastAsia="楷体_GB2312"/>
          <w:szCs w:val="32"/>
        </w:rPr>
        <w:t>（一）建设开放多级的枢纽城市</w:t>
      </w:r>
    </w:p>
    <w:p>
      <w:pPr>
        <w:spacing w:line="580" w:lineRule="exact"/>
        <w:ind w:firstLine="640" w:firstLineChars="200"/>
        <w:rPr>
          <w:rFonts w:ascii="仿宋_GB2312" w:hAnsi="等线"/>
          <w:szCs w:val="32"/>
        </w:rPr>
      </w:pPr>
      <w:r>
        <w:rPr>
          <w:rFonts w:hint="eastAsia" w:ascii="仿宋_GB2312"/>
          <w:szCs w:val="32"/>
        </w:rPr>
        <w:t>“十四五”期间，共建长三角国际性综合交通枢纽集群，着力打造杭州国际性综合交通枢纽，加快打造宁波（舟山）国际性综合交通枢纽，温州、金华（义乌）全国性综合交通枢纽和湖州、嘉兴、绍兴、衢州、台州、丽水六大区域性综合交通枢纽。</w:t>
      </w:r>
    </w:p>
    <w:p>
      <w:pPr>
        <w:snapToGrid w:val="0"/>
        <w:spacing w:line="580" w:lineRule="exact"/>
        <w:ind w:firstLine="640" w:firstLineChars="200"/>
        <w:rPr>
          <w:rFonts w:hint="eastAsia"/>
          <w:szCs w:val="32"/>
        </w:rPr>
      </w:pPr>
      <w:r>
        <w:rPr>
          <w:rFonts w:ascii="仿宋_GB2312"/>
          <w:szCs w:val="32"/>
        </w:rPr>
        <w:t>杭州枢纽：</w:t>
      </w:r>
      <w:r>
        <w:rPr>
          <w:rFonts w:hint="eastAsia" w:ascii="仿宋_GB2312"/>
          <w:szCs w:val="32"/>
        </w:rPr>
        <w:t>通过构建“三枢一轴、三环六射”格局，全方位打造长三角国际性综合交通枢纽集群的核心城市、国际性综合交通枢纽城市。“三枢”指杭州西站、萧山机场、杭州东站；“一轴”指中轴快线，连接杭州西站、杭州东站及萧山机场等重要对外交通枢纽；“三环”指绕城、中环、都市圈环线三条结构性环线；“六射”指衔接湖州（江苏）、嘉兴（上海）、宁波（舟山）、丽水（福建）、衢州（江西）、安徽六个方向的对外通道。“十四五”期间，全面建成中轴快线、杭州西站、杭州萧山国际机场、杭州都市区环线等项目，基本贯通杭州中环。</w:t>
      </w:r>
    </w:p>
    <w:p>
      <w:pPr>
        <w:snapToGrid w:val="0"/>
        <w:spacing w:line="580" w:lineRule="exact"/>
        <w:ind w:firstLine="640" w:firstLineChars="200"/>
        <w:rPr>
          <w:szCs w:val="32"/>
        </w:rPr>
      </w:pPr>
      <w:r>
        <w:rPr>
          <w:rFonts w:ascii="仿宋_GB2312"/>
          <w:szCs w:val="32"/>
        </w:rPr>
        <w:t>宁波（舟山）枢纽：</w:t>
      </w:r>
      <w:r>
        <w:rPr>
          <w:rFonts w:hint="eastAsia" w:ascii="仿宋_GB2312"/>
          <w:szCs w:val="32"/>
        </w:rPr>
        <w:t>通过构建“港城双枢、两环五射”格局，全面支撑长三角国际性综合交通枢纽集群的核心城市、国际性综合交通枢纽城市定位。“港城双枢”指以宁波舟山港核心港区为中心的港口枢纽和以宁波机场、宁波站为龙头的城市枢纽；“两环”指宁波绕城高速和都市区环线高速；“五射”指上海、杭州、金华、温州、海上辐射通道五个方向的对外通道。“十四五”期间，全面建设宁波舟山港国际枢纽海港，谋划东西陆海新通道，加快建设杭甬高速复线、舟山白泉站、舟山江海联运服务中心，重点推进通苏嘉甬铁路、宁波栎社国际机场扩建工程、宁波西站、梅山千万标箱级集装箱港区、疏港铁路、公路、管道海陆联动联运体系项目。</w:t>
      </w:r>
    </w:p>
    <w:p>
      <w:pPr>
        <w:snapToGrid w:val="0"/>
        <w:spacing w:line="580" w:lineRule="exact"/>
        <w:ind w:firstLine="640" w:firstLineChars="200"/>
        <w:rPr>
          <w:szCs w:val="32"/>
        </w:rPr>
      </w:pPr>
      <w:r>
        <w:rPr>
          <w:rFonts w:ascii="仿宋_GB2312"/>
          <w:szCs w:val="32"/>
        </w:rPr>
        <w:t>温州枢纽：</w:t>
      </w:r>
      <w:r>
        <w:rPr>
          <w:rFonts w:hint="eastAsia" w:ascii="仿宋_GB2312"/>
          <w:szCs w:val="32"/>
        </w:rPr>
        <w:t>通过构建“一核一轴、两环四射”格局，全面打造长三角联动海西经济区和粤港澳重大战略空间的全国性综合交通枢纽。“一核”指以温州东部综合交通枢纽为核心；“一轴”指南北贯通的沿海大通道；“两环”指温州绕城高速环线和都市圈高速环线；“四射”指杭州、金华、丽水（江西）、海上辐射通道四个方向的对外通道。“十四五”期间，全力推进温武吉铁路、甬台温福高铁、温州东部综合交通枢纽、市域铁路S2线和S3线、乐清至青田高速、温州航空物流园等项目。</w:t>
      </w:r>
    </w:p>
    <w:p>
      <w:pPr>
        <w:snapToGrid w:val="0"/>
        <w:spacing w:line="580" w:lineRule="exact"/>
        <w:ind w:firstLine="640" w:firstLineChars="200"/>
        <w:rPr>
          <w:szCs w:val="32"/>
        </w:rPr>
      </w:pPr>
      <w:r>
        <w:rPr>
          <w:rFonts w:ascii="仿宋_GB2312"/>
          <w:szCs w:val="32"/>
        </w:rPr>
        <w:t>金华（义乌）枢纽：</w:t>
      </w:r>
      <w:r>
        <w:rPr>
          <w:rFonts w:hint="eastAsia" w:ascii="仿宋_GB2312"/>
          <w:szCs w:val="32"/>
        </w:rPr>
        <w:t>通过构建“四枢双环、双向联动、米字辐射”格局，全面形成商贸物流型、生产服务型全国性综合交通枢纽。“四枢”指金义站、金华站、义乌站、义乌国际陆港；“双环”指金义都市核心区环线和金义都市区环线；“双向联动”指以金义主轴为核心，加强金华义乌核心区双向联动；“米字辐射”指快捷衔接杭州（上海）、宁波（舟山）、台州、温州、衢州（江西）、福建、安徽、江苏八个方向的对外通道。“十四五”期间，加快推进金义机场前期工作，重点推进金华枢纽改造提升工程、甬金衢上高速、义龙庆高速、甬金高速金华段拓宽、合温高速、金武永东城际铁路等项目。</w:t>
      </w:r>
    </w:p>
    <w:p>
      <w:pPr>
        <w:snapToGrid w:val="0"/>
        <w:spacing w:line="580" w:lineRule="exact"/>
        <w:ind w:firstLine="640" w:firstLineChars="200"/>
        <w:rPr>
          <w:rFonts w:ascii="仿宋_GB2312" w:hAnsi="等线"/>
          <w:szCs w:val="32"/>
        </w:rPr>
      </w:pPr>
      <w:r>
        <w:rPr>
          <w:rFonts w:ascii="仿宋_GB2312"/>
          <w:szCs w:val="32"/>
        </w:rPr>
        <w:t>绍兴枢纽：</w:t>
      </w:r>
      <w:r>
        <w:rPr>
          <w:rFonts w:hint="eastAsia" w:ascii="仿宋_GB2312"/>
          <w:szCs w:val="32"/>
        </w:rPr>
        <w:t>围绕“三枢两轴、一环四射”格局，全面建成融杭联甬接沪的长三角环杭州湾区域综合交通枢纽。“三枢”指绍兴北站综合枢纽、滨海综合枢纽、绍兴港现代物流园区；“两轴”指绍兴南北向城市功能综合发展轴；“一环”指绍兴绕城高速环线；“四射”指嘉兴（上海）、杭州、宁波（舟山）、台州四个方向的对外通道。“十四五”期间，重点推进绍兴南部综合交通枢纽、轻纺数字物流港、现代物流中心园区、杭绍台铁路、金甬铁路、绍兴至上虞城际铁路等项目。</w:t>
      </w:r>
    </w:p>
    <w:p>
      <w:pPr>
        <w:snapToGrid w:val="0"/>
        <w:spacing w:line="580" w:lineRule="exact"/>
        <w:ind w:firstLine="640" w:firstLineChars="200"/>
        <w:rPr>
          <w:rFonts w:hint="eastAsia"/>
          <w:szCs w:val="32"/>
        </w:rPr>
      </w:pPr>
      <w:r>
        <w:rPr>
          <w:rFonts w:ascii="仿宋_GB2312"/>
          <w:szCs w:val="32"/>
        </w:rPr>
        <w:t>湖州枢纽：</w:t>
      </w:r>
      <w:r>
        <w:rPr>
          <w:rFonts w:hint="eastAsia" w:ascii="仿宋_GB2312"/>
          <w:szCs w:val="32"/>
        </w:rPr>
        <w:t>围绕“双核两轴、一环四射”格局，全面打造长三角承东启西、沟通南北的重要枢纽和上海大都市圈的西翼门户。“双核”指湖州综合交通枢纽和湖州铁公水综合物流园区；“两轴”指南太湖大通道横轴和京杭大通道纵轴；“一环”指湖州绕城高速环线；“四射”指嘉兴（上海）、杭州、江苏、安徽四个方向的对外通道。“十四五”期间，重点推进湖州东站、南浔站、湖州铁公水综合物流园区二期、沪苏湖铁路、盐泰锡宜湖城际、浙北高等级航道网集装箱运输通道等项目。</w:t>
      </w:r>
    </w:p>
    <w:p>
      <w:pPr>
        <w:snapToGrid w:val="0"/>
        <w:spacing w:line="580" w:lineRule="exact"/>
        <w:ind w:firstLine="640" w:firstLineChars="200"/>
        <w:rPr>
          <w:szCs w:val="32"/>
        </w:rPr>
      </w:pPr>
      <w:r>
        <w:rPr>
          <w:rFonts w:ascii="仿宋_GB2312"/>
          <w:szCs w:val="32"/>
        </w:rPr>
        <w:t>嘉兴枢纽：</w:t>
      </w:r>
      <w:r>
        <w:rPr>
          <w:rFonts w:hint="eastAsia" w:ascii="仿宋_GB2312"/>
          <w:szCs w:val="32"/>
        </w:rPr>
        <w:t>围绕“双核三港，两环五射”格局，全力建成长三角核心区中心枢纽。“双核”指突出嘉兴中心城区和长三角生态绿色示范区两个枢纽极核；“三港”指嘉兴南站、嘉兴机场、嘉兴海河联运枢纽港；“两环”指两条市域快速路环线；“五射”指上海、杭州、绍兴、江苏、湖州（安徽）五个方向的对外通道。重点推进嘉兴南站扩容提升工程、嘉兴机场，嘉兴海河联运枢纽港、嘉兴至枫南市域铁路、嘉善至西塘市域铁路等重大综合交通项目。</w:t>
      </w:r>
    </w:p>
    <w:p>
      <w:pPr>
        <w:snapToGrid w:val="0"/>
        <w:spacing w:line="580" w:lineRule="exact"/>
        <w:ind w:firstLine="640" w:firstLineChars="200"/>
        <w:rPr>
          <w:szCs w:val="32"/>
        </w:rPr>
      </w:pPr>
      <w:r>
        <w:rPr>
          <w:rFonts w:ascii="仿宋_GB2312"/>
          <w:szCs w:val="32"/>
        </w:rPr>
        <w:t>衢州枢纽：</w:t>
      </w:r>
      <w:r>
        <w:rPr>
          <w:rFonts w:hint="eastAsia" w:ascii="仿宋_GB2312"/>
          <w:szCs w:val="32"/>
        </w:rPr>
        <w:t>围绕“一群四枢，一环六射”格局，全力构建浙闽赣皖四省边际区域综合交通枢纽。“一群”指衢龙江常城镇组群；“四枢”指衢州机场、衢州市综合客运枢纽、衢州高铁西站综合客运枢纽、衢州市多式联运枢纽港；“一环”指衢州绕城高速环线；“六射”指金华（杭州）、丽水（温州）、安徽、南平（福建）、赣北、赣南六个方向的对外通道。“十四五”期间，重点推进衢州西站综合交通枢纽、衢州市多式联运枢纽港、杭衢铁路、衢丽铁路等项目。</w:t>
      </w:r>
    </w:p>
    <w:p>
      <w:pPr>
        <w:snapToGrid w:val="0"/>
        <w:spacing w:line="580" w:lineRule="exact"/>
        <w:ind w:firstLine="640" w:firstLineChars="200"/>
        <w:rPr>
          <w:szCs w:val="32"/>
        </w:rPr>
      </w:pPr>
      <w:r>
        <w:rPr>
          <w:rFonts w:ascii="仿宋_GB2312"/>
          <w:szCs w:val="32"/>
        </w:rPr>
        <w:t>台州枢纽：</w:t>
      </w:r>
      <w:r>
        <w:rPr>
          <w:rFonts w:hint="eastAsia" w:ascii="仿宋_GB2312"/>
          <w:szCs w:val="32"/>
        </w:rPr>
        <w:t>围绕“一主两翼，两环四射，四核多点”格局，全力建设长三角城市群南翼区域综合交通枢纽。“一主”指台州中心城区交通主中心；“两翼”指临海、温岭两个交通副中心；“两环”指高速公路外环线、城市内环线；“四射”指宁波（上海）、温州（福建）、金华、海上辐射通道四个方向的对外通道；“四核”指台州机场、台州中心站、台州物流园、头门港物流园；“多点”指台州站、机场物流园等客货运枢纽。“十四五”期间，重点推进甬台温福高铁、台州中心铁路站综合客运枢纽、台州机场改扩建、头门港物流园区、台州市域轨道、杭绍台铁路等项目。</w:t>
      </w:r>
    </w:p>
    <w:p>
      <w:pPr>
        <w:snapToGrid w:val="0"/>
        <w:spacing w:line="580" w:lineRule="exact"/>
        <w:ind w:firstLine="640" w:firstLineChars="200"/>
        <w:rPr>
          <w:rFonts w:ascii="仿宋_GB2312" w:hAnsi="等线"/>
          <w:szCs w:val="32"/>
        </w:rPr>
      </w:pPr>
      <w:r>
        <w:rPr>
          <w:rFonts w:ascii="仿宋_GB2312"/>
          <w:szCs w:val="32"/>
        </w:rPr>
        <w:t>丽水枢纽：</w:t>
      </w:r>
      <w:r>
        <w:rPr>
          <w:rFonts w:hint="eastAsia" w:ascii="仿宋_GB2312"/>
          <w:szCs w:val="32"/>
        </w:rPr>
        <w:t>围绕“一核三区、四环八向”格局，全面构建浙江连闽通粤的区域综合交通枢纽。“一核”指莲缙青核心带综合枢纽；“三区”指龙庆区块副枢纽、遂松区块副枢纽、云景区块副枢纽；“四环”指莲缙青发展核心带环线、市域环线、浙西南生态共保环线、一带三区普通国道环线；“八向”指杭州（江苏）、宁波、台州、温州、闽北、闽西北、衢州（江西）、金华（安徽）八个主要方向的射线。“十四五”期间，重点推进衢丽铁路、丽水机场、青田温溪港提升改造等项目。</w:t>
      </w:r>
    </w:p>
    <w:p>
      <w:pPr>
        <w:snapToGrid w:val="0"/>
        <w:spacing w:line="580" w:lineRule="exact"/>
        <w:ind w:firstLine="640" w:firstLineChars="200"/>
        <w:outlineLvl w:val="1"/>
        <w:rPr>
          <w:rFonts w:hint="eastAsia" w:eastAsia="楷体_GB2312"/>
          <w:szCs w:val="32"/>
        </w:rPr>
      </w:pPr>
      <w:r>
        <w:rPr>
          <w:rFonts w:ascii="楷体_GB2312" w:eastAsia="楷体_GB2312"/>
          <w:szCs w:val="32"/>
        </w:rPr>
        <w:t>（二）构建多层一体的综合客运枢纽</w:t>
      </w:r>
    </w:p>
    <w:p>
      <w:pPr>
        <w:spacing w:line="580" w:lineRule="exact"/>
        <w:ind w:firstLine="640" w:firstLineChars="200"/>
        <w:rPr>
          <w:rFonts w:ascii="仿宋_GB2312" w:hAnsi="等线"/>
          <w:szCs w:val="32"/>
        </w:rPr>
      </w:pPr>
      <w:r>
        <w:rPr>
          <w:rFonts w:hint="eastAsia" w:ascii="仿宋_GB2312"/>
          <w:szCs w:val="32"/>
        </w:rPr>
        <w:t>按照“门户型、地区型、一般型”综合客运枢纽分层分级布局的要求，门户型综合客运枢纽主要服务大范围、长距离的国际、国内旅客运输；地区型综合客运枢纽主要服务省内各大组团间，以及区域组团内中心城市与其它城市的旅客运输；一般型综合客运枢纽主要服务区域组团内部城市之间，以及市域内部的旅客运输。</w:t>
      </w:r>
    </w:p>
    <w:p>
      <w:pPr>
        <w:spacing w:line="580" w:lineRule="exact"/>
        <w:ind w:firstLine="640" w:firstLineChars="200"/>
        <w:rPr>
          <w:rFonts w:hint="eastAsia" w:ascii="仿宋_GB2312"/>
          <w:szCs w:val="32"/>
        </w:rPr>
      </w:pPr>
      <w:r>
        <w:rPr>
          <w:rFonts w:hint="eastAsia" w:ascii="仿宋_GB2312"/>
          <w:szCs w:val="32"/>
        </w:rPr>
        <w:t>以城市肌理和空间特征为基底，加快建设与区域发展定位相匹配的综合客运枢纽，推动新建综合客运枢纽多种运输方式集中布局，实现空间共享、立体或同台换乘，加强综合客运枢纽与城市交通的连通性，提升土地综合开发利用效率，围绕综合客运枢纽打造城市新中心。</w:t>
      </w:r>
    </w:p>
    <w:p>
      <w:pPr>
        <w:spacing w:line="580" w:lineRule="exact"/>
        <w:ind w:firstLine="640" w:firstLineChars="200"/>
        <w:rPr>
          <w:rFonts w:hint="eastAsia" w:ascii="仿宋_GB2312"/>
          <w:szCs w:val="32"/>
        </w:rPr>
      </w:pPr>
      <w:r>
        <w:rPr>
          <w:rFonts w:hint="eastAsia" w:ascii="仿宋_GB2312"/>
          <w:szCs w:val="32"/>
        </w:rPr>
        <w:t>“十四五”期间，以机场、高铁站为核心，聚焦综合客运枢纽扩能提效，建设与枢纽城市能级相适的综合客运枢纽体系，重点推进配套设施建设，实现多种运输方式的无缝衔接，全面改善中转服务品质和旅客中转出行体验。到2025年，全省新增综合客运枢纽场站12个，综合客运枢纽总数达到78个。</w:t>
      </w:r>
    </w:p>
    <w:p>
      <w:pPr>
        <w:spacing w:line="580" w:lineRule="exact"/>
        <w:ind w:firstLine="640" w:firstLineChars="200"/>
        <w:rPr>
          <w:rFonts w:hint="eastAsia" w:ascii="仿宋_GB2312"/>
          <w:szCs w:val="32"/>
        </w:rPr>
      </w:pPr>
      <w:r>
        <w:rPr>
          <w:rFonts w:ascii="仿宋_GB2312"/>
          <w:szCs w:val="32"/>
        </w:rPr>
        <w:t>杭州：</w:t>
      </w:r>
      <w:r>
        <w:rPr>
          <w:rFonts w:hint="eastAsia" w:ascii="仿宋_GB2312"/>
          <w:szCs w:val="32"/>
        </w:rPr>
        <w:t xml:space="preserve">重点扩容杭州机场，实施机场三期扩建项目，积极建设长三角世界级机场群核心机场。以“站城一体”“三生融合”为目标，高水平建成杭州西站，打造“轨道上的长三角”重要节点。新建江东站、临安站，桐庐站配套建设公路客运站，支撑杭州城市空间扩展。 </w:t>
      </w:r>
    </w:p>
    <w:p>
      <w:pPr>
        <w:spacing w:line="580" w:lineRule="exact"/>
        <w:ind w:firstLine="640" w:firstLineChars="200"/>
        <w:rPr>
          <w:rFonts w:hint="eastAsia"/>
          <w:szCs w:val="32"/>
        </w:rPr>
      </w:pPr>
      <w:r>
        <w:rPr>
          <w:rFonts w:ascii="仿宋_GB2312"/>
          <w:szCs w:val="32"/>
        </w:rPr>
        <w:t>宁波（舟山）</w:t>
      </w:r>
      <w:r>
        <w:rPr>
          <w:rFonts w:hint="eastAsia" w:ascii="仿宋_GB2312"/>
          <w:szCs w:val="32"/>
        </w:rPr>
        <w:t>：重点扩容宁波机场，实施机场四期扩建项目，构建长三角世界级机场群中心机场。重点推进宁波西站枢纽建设，形成国家综合运输沿海通道重要节点。建成慈溪站，更好服务前湾新区建设。新建宁波东站、奉化站、舟山白泉站、马岙站、金塘站，发挥沪舟甬跨海大通道主轴上的重要节点功能。结合甬舟铁路、宁波舟山港主通道等重大对外通道建设，加快海岛水陆枢纽配套建设。</w:t>
      </w:r>
    </w:p>
    <w:p>
      <w:pPr>
        <w:spacing w:line="580" w:lineRule="exact"/>
        <w:ind w:firstLine="640" w:firstLineChars="200"/>
        <w:rPr>
          <w:szCs w:val="32"/>
        </w:rPr>
      </w:pPr>
      <w:r>
        <w:rPr>
          <w:rFonts w:ascii="仿宋_GB2312"/>
          <w:szCs w:val="32"/>
        </w:rPr>
        <w:t>温州：</w:t>
      </w:r>
      <w:r>
        <w:rPr>
          <w:rFonts w:hint="eastAsia" w:ascii="仿宋_GB2312"/>
          <w:szCs w:val="32"/>
        </w:rPr>
        <w:t>重点扩容温州机场，实施机场三期扩建工程，构建长三角世界级机场群中心机场，配套建设温州东站，高质量打造温州东部综合交通枢纽。建成温州北站，实施温州南站、瑞安站、乐清站、苍南站扩容改造，推动枢纽能级提升。新建文成站、泰顺站，培育温州西部发展的重要增长极。</w:t>
      </w:r>
    </w:p>
    <w:p>
      <w:pPr>
        <w:spacing w:line="580" w:lineRule="exact"/>
        <w:ind w:firstLine="640" w:firstLineChars="200"/>
        <w:rPr>
          <w:szCs w:val="32"/>
        </w:rPr>
      </w:pPr>
      <w:r>
        <w:rPr>
          <w:rFonts w:ascii="仿宋_GB2312"/>
          <w:szCs w:val="32"/>
        </w:rPr>
        <w:t>金华（义乌）：</w:t>
      </w:r>
      <w:r>
        <w:rPr>
          <w:rFonts w:hint="eastAsia" w:ascii="仿宋_GB2312"/>
          <w:szCs w:val="32"/>
        </w:rPr>
        <w:t>加快推进金义机场前期工作，打造浙江区域枢纽机场，支撑金义都市区经济社会发展。实施金华站、义乌站扩容改造，促进金义主轴资源要素集聚。新建金义站、磐安站、东阳站、浦江站、兰溪东站，充分发挥枢纽引领城市空间格局的功能。</w:t>
      </w:r>
    </w:p>
    <w:p>
      <w:pPr>
        <w:spacing w:line="580" w:lineRule="exact"/>
        <w:ind w:firstLine="640" w:firstLineChars="200"/>
        <w:rPr>
          <w:rFonts w:ascii="仿宋_GB2312" w:hAnsi="等线"/>
          <w:szCs w:val="32"/>
        </w:rPr>
      </w:pPr>
      <w:r>
        <w:rPr>
          <w:rFonts w:ascii="仿宋_GB2312"/>
          <w:szCs w:val="32"/>
        </w:rPr>
        <w:t>绍兴：</w:t>
      </w:r>
      <w:r>
        <w:rPr>
          <w:rFonts w:hint="eastAsia" w:ascii="仿宋_GB2312"/>
          <w:szCs w:val="32"/>
        </w:rPr>
        <w:t>新建绍兴北站，打造绍兴北部新门户。全力推进东关站建设，增强中心城区向心力。加快建成嵊州新昌站，构筑嵊州新昌组团枢纽核心区域。</w:t>
      </w:r>
    </w:p>
    <w:p>
      <w:pPr>
        <w:spacing w:line="580" w:lineRule="exact"/>
        <w:ind w:firstLine="640" w:firstLineChars="200"/>
        <w:rPr>
          <w:rFonts w:hint="eastAsia"/>
          <w:szCs w:val="32"/>
        </w:rPr>
      </w:pPr>
      <w:r>
        <w:rPr>
          <w:rFonts w:ascii="仿宋_GB2312"/>
          <w:szCs w:val="32"/>
        </w:rPr>
        <w:t>湖州：</w:t>
      </w:r>
      <w:r>
        <w:rPr>
          <w:rFonts w:hint="eastAsia" w:ascii="仿宋_GB2312"/>
          <w:szCs w:val="32"/>
        </w:rPr>
        <w:t>加快建成湖州东站，为湖州向东融入长三角一体化注入新活力。新建南浔站，充分发挥高铁枢纽对南浔产业布局、新区发展的拓展带动作用。</w:t>
      </w:r>
    </w:p>
    <w:p>
      <w:pPr>
        <w:spacing w:line="580" w:lineRule="exact"/>
        <w:ind w:firstLine="640" w:firstLineChars="200"/>
        <w:rPr>
          <w:szCs w:val="32"/>
        </w:rPr>
      </w:pPr>
      <w:r>
        <w:rPr>
          <w:rFonts w:ascii="仿宋_GB2312"/>
          <w:szCs w:val="32"/>
        </w:rPr>
        <w:t>嘉兴：</w:t>
      </w:r>
      <w:r>
        <w:rPr>
          <w:rFonts w:hint="eastAsia" w:ascii="仿宋_GB2312"/>
          <w:szCs w:val="32"/>
        </w:rPr>
        <w:t>实施嘉兴南站改扩建工程，建成集交通枢纽、科创、商务等综合功能于一体的高铁新城。实施嘉善站改扩建工程，支撑长三角生态绿色示范区建设。结合杭海城际以及萧山机场站枢纽及接线工程，实施海宁西站改扩建工程、新建海宁南站。加快实施桐乡站改扩建项目，完善配套接驳体系。</w:t>
      </w:r>
    </w:p>
    <w:p>
      <w:pPr>
        <w:spacing w:line="580" w:lineRule="exact"/>
        <w:ind w:firstLine="640" w:firstLineChars="200"/>
        <w:rPr>
          <w:szCs w:val="32"/>
        </w:rPr>
      </w:pPr>
      <w:r>
        <w:rPr>
          <w:rFonts w:ascii="仿宋_GB2312"/>
          <w:szCs w:val="32"/>
        </w:rPr>
        <w:t>衢州：</w:t>
      </w:r>
      <w:r>
        <w:rPr>
          <w:rFonts w:hint="eastAsia" w:ascii="仿宋_GB2312"/>
          <w:szCs w:val="32"/>
        </w:rPr>
        <w:t>加快建成衢州西站、莲花站，完善市域枢纽节点网络。实施常山站、龙游站改扩建工程，配套建设公路客运站，打造公铁衔接型综合客运枢纽。</w:t>
      </w:r>
    </w:p>
    <w:p>
      <w:pPr>
        <w:spacing w:line="580" w:lineRule="exact"/>
        <w:ind w:firstLine="640" w:firstLineChars="200"/>
        <w:rPr>
          <w:szCs w:val="32"/>
        </w:rPr>
      </w:pPr>
      <w:r>
        <w:rPr>
          <w:rFonts w:ascii="仿宋_GB2312"/>
          <w:szCs w:val="32"/>
        </w:rPr>
        <w:t>台州</w:t>
      </w:r>
      <w:r>
        <w:rPr>
          <w:rFonts w:hint="eastAsia" w:ascii="仿宋_GB2312"/>
          <w:szCs w:val="32"/>
        </w:rPr>
        <w:t>：实施台州机场改扩建，打造浙东南沿海地区中型国际化机场和重要的航空货运机场。尽早建成台州中心站，打造城市新名片。实施临海站改扩建，积极推进温岭站、天台站、仙居站、玉环站建设，形成高效完善的客运枢纽系统。</w:t>
      </w:r>
    </w:p>
    <w:p>
      <w:pPr>
        <w:snapToGrid w:val="0"/>
        <w:spacing w:line="580" w:lineRule="exact"/>
        <w:ind w:firstLine="640" w:firstLineChars="200"/>
        <w:rPr>
          <w:szCs w:val="32"/>
        </w:rPr>
      </w:pPr>
      <w:r>
        <w:rPr>
          <w:rFonts w:ascii="仿宋_GB2312"/>
          <w:szCs w:val="32"/>
        </w:rPr>
        <w:t>丽水：</w:t>
      </w:r>
      <w:r>
        <w:rPr>
          <w:rFonts w:hint="eastAsia" w:ascii="仿宋_GB2312"/>
          <w:szCs w:val="32"/>
        </w:rPr>
        <w:t>新建丽水机场，打造浙南地区重要旅游机场和区域性通用航空基地机场。加快实施缙云站、龙泉站改扩建工程，配套建设旅游集散换乘中心，实现公铁无缝换乘。</w:t>
      </w:r>
    </w:p>
    <w:p>
      <w:pPr>
        <w:snapToGrid w:val="0"/>
        <w:spacing w:line="580" w:lineRule="exact"/>
        <w:ind w:firstLine="640" w:firstLineChars="200"/>
        <w:outlineLvl w:val="1"/>
        <w:rPr>
          <w:rFonts w:eastAsia="楷体_GB2312"/>
          <w:szCs w:val="32"/>
        </w:rPr>
      </w:pPr>
      <w:r>
        <w:rPr>
          <w:rFonts w:ascii="楷体_GB2312" w:eastAsia="楷体_GB2312"/>
          <w:szCs w:val="32"/>
        </w:rPr>
        <w:t>（三）构建高效畅达的综合货运枢纽</w:t>
      </w:r>
    </w:p>
    <w:p>
      <w:pPr>
        <w:spacing w:line="580" w:lineRule="exact"/>
        <w:ind w:firstLine="640" w:firstLineChars="200"/>
        <w:rPr>
          <w:rFonts w:ascii="仿宋_GB2312" w:hAnsi="等线"/>
          <w:szCs w:val="32"/>
        </w:rPr>
      </w:pPr>
      <w:r>
        <w:rPr>
          <w:rFonts w:hint="eastAsia" w:ascii="仿宋_GB2312"/>
          <w:szCs w:val="32"/>
        </w:rPr>
        <w:t>按照“门户型、地区型、一般型”综合货运枢纽分层分级布局的要求，门户型综合货运枢纽主要依托省级以上主要港口、沿海港口、国家及区域级铁路货站及干线机场，服务国际、省际间大批次货物转运及分拨物流活动；地区型综合货运枢纽主要依托地区重要港口、地区级铁路货站、支线机场，服务省际和省内大批次货物转运及分拨；一般型综合货运枢纽主要依托地区港口码头、铁路货运站、支线机场，服务当地特色产业及城市、城乡配送。</w:t>
      </w:r>
    </w:p>
    <w:p>
      <w:pPr>
        <w:spacing w:line="580" w:lineRule="exact"/>
        <w:ind w:firstLine="640" w:firstLineChars="200"/>
        <w:rPr>
          <w:rFonts w:hint="eastAsia" w:ascii="仿宋_GB2312"/>
          <w:szCs w:val="32"/>
        </w:rPr>
      </w:pPr>
      <w:r>
        <w:rPr>
          <w:rFonts w:hint="eastAsia" w:ascii="仿宋_GB2312"/>
          <w:szCs w:val="32"/>
        </w:rPr>
        <w:t>根据浙江省城市空间格局和运输需求发展，以及货运枢纽所依托的经济开发区、交通枢纽设施等级以及在国家、区域物流体系中的重要程度，建设与区域发展定位相匹配的综合货运枢纽。</w:t>
      </w:r>
    </w:p>
    <w:p>
      <w:pPr>
        <w:spacing w:line="580" w:lineRule="exact"/>
        <w:ind w:firstLine="640" w:firstLineChars="200"/>
        <w:rPr>
          <w:rFonts w:hint="eastAsia" w:ascii="仿宋_GB2312"/>
          <w:szCs w:val="32"/>
        </w:rPr>
      </w:pPr>
      <w:r>
        <w:rPr>
          <w:rFonts w:hint="eastAsia" w:ascii="仿宋_GB2312"/>
          <w:szCs w:val="32"/>
        </w:rPr>
        <w:t xml:space="preserve">“十四五”期间，加快推进多式联运发展，重点打造空公铁、铁公水、海河、江海等联运型货运枢纽，促进物流降本增效。加快推进物流园区配套设施建设，增强综合服务功能，合理引导产业空间分工体系，推动枢纽经济高质量发展。到2025年，新增综合货运枢纽场站18个，全省综合货运枢纽总数达到35个。 </w:t>
      </w:r>
    </w:p>
    <w:p>
      <w:pPr>
        <w:spacing w:line="580" w:lineRule="exact"/>
        <w:ind w:firstLine="640" w:firstLineChars="200"/>
        <w:rPr>
          <w:rFonts w:hint="eastAsia"/>
          <w:szCs w:val="32"/>
        </w:rPr>
      </w:pPr>
      <w:r>
        <w:rPr>
          <w:rFonts w:ascii="仿宋_GB2312"/>
          <w:szCs w:val="32"/>
        </w:rPr>
        <w:t>杭州：</w:t>
      </w:r>
      <w:r>
        <w:rPr>
          <w:rFonts w:hint="eastAsia" w:ascii="仿宋_GB2312"/>
          <w:szCs w:val="32"/>
        </w:rPr>
        <w:t>以中国（杭州）跨境电子商务综合试验区为基础、杭州传化公路港临江综合物流产业园区为延伸，续建传化公路港临江综合物流产业园区，包含杭州交联物流有限公司前进物流中心以及杭州大湾区智能制造供应链一体化公共服务平台项目、重点实施杭州萧山国际机场三期配套东区国内货站工程、浙江杭州青山湖科技城国际物流中心、下沙物流园区、杭州空港现代智慧物流产业园等项目。</w:t>
      </w:r>
    </w:p>
    <w:p>
      <w:pPr>
        <w:spacing w:line="580" w:lineRule="exact"/>
        <w:ind w:firstLine="640" w:firstLineChars="200"/>
        <w:rPr>
          <w:szCs w:val="32"/>
        </w:rPr>
      </w:pPr>
      <w:r>
        <w:rPr>
          <w:rFonts w:ascii="仿宋_GB2312"/>
          <w:szCs w:val="32"/>
        </w:rPr>
        <w:t>宁波（舟山）：重点推进梅山国际供应链物流园区、北仑临港智慧物流园区、宁波西内陆港物流园区、镇海临港综合物流枢纽、宁南贸易物流区、金塘保税物流中心、舟山港综合保税区本岛分区保税物流园区等项目。</w:t>
      </w:r>
    </w:p>
    <w:p>
      <w:pPr>
        <w:spacing w:line="580" w:lineRule="exact"/>
        <w:ind w:firstLine="640" w:firstLineChars="200"/>
        <w:rPr>
          <w:szCs w:val="32"/>
        </w:rPr>
      </w:pPr>
      <w:r>
        <w:rPr>
          <w:rFonts w:ascii="仿宋_GB2312"/>
          <w:szCs w:val="32"/>
        </w:rPr>
        <w:t>温州：重点推进温州航空物流园、温州鹿城西部多式联运枢纽、温州西铁路货运站场迁建工程、京东瑞安智能供应链产业等项目。</w:t>
      </w:r>
    </w:p>
    <w:p>
      <w:pPr>
        <w:spacing w:line="580" w:lineRule="exact"/>
        <w:ind w:firstLine="640" w:firstLineChars="200"/>
        <w:rPr>
          <w:szCs w:val="32"/>
        </w:rPr>
      </w:pPr>
      <w:r>
        <w:rPr>
          <w:rFonts w:ascii="仿宋_GB2312"/>
          <w:szCs w:val="32"/>
        </w:rPr>
        <w:t>金华（义乌）：重点建设国家一级铁路物流基地浙中公铁联运港南站区块一期工程，完成华东（金华）农产品物流中心建设项目，开工建设西铁路货场扩建工程二期和永康多式联运中心一期工程；依托兰溪港区、婺城港区，布局以水运为主导的兰溪公铁水联运枢纽；结合金温货线武义站，加快建设以铁路运输为主导的武义公铁综合物流园。</w:t>
      </w:r>
    </w:p>
    <w:p>
      <w:pPr>
        <w:spacing w:line="580" w:lineRule="exact"/>
        <w:ind w:firstLine="640" w:firstLineChars="200"/>
        <w:rPr>
          <w:szCs w:val="32"/>
        </w:rPr>
      </w:pPr>
      <w:r>
        <w:rPr>
          <w:rFonts w:ascii="仿宋_GB2312"/>
          <w:szCs w:val="32"/>
        </w:rPr>
        <w:t>绍兴：建成店口物流园区、金甬铁路新昌客货站、轻纺数字物流港。结合新亭埠作业区和诸暨铁路货运东站，开工建设诸暨公铁水联运中心、金甬铁路长乐货站（客站预留）等项目。</w:t>
      </w:r>
    </w:p>
    <w:p>
      <w:pPr>
        <w:spacing w:line="580" w:lineRule="exact"/>
        <w:ind w:firstLine="640" w:firstLineChars="200"/>
        <w:rPr>
          <w:rFonts w:ascii="仿宋_GB2312"/>
          <w:szCs w:val="32"/>
        </w:rPr>
      </w:pPr>
      <w:r>
        <w:rPr>
          <w:rFonts w:ascii="仿宋_GB2312"/>
          <w:szCs w:val="32"/>
        </w:rPr>
        <w:t>湖州：重点建设湖州铁公水综合物流园多式联运型枢纽、安吉数字物流港项目，续建中国物流（安吉）现代物流园，开工建设南浔经济开发区综合物流园区项目。</w:t>
      </w:r>
    </w:p>
    <w:p>
      <w:pPr>
        <w:spacing w:line="580" w:lineRule="exact"/>
        <w:ind w:firstLine="640" w:firstLineChars="200"/>
        <w:rPr>
          <w:rFonts w:hint="eastAsia" w:ascii="仿宋_GB2312"/>
          <w:szCs w:val="32"/>
        </w:rPr>
      </w:pPr>
      <w:r>
        <w:rPr>
          <w:rFonts w:hint="eastAsia" w:ascii="仿宋_GB2312"/>
          <w:szCs w:val="32"/>
        </w:rPr>
        <w:t>嘉兴：续建平湖独山港综合物流园区、独山海河联运II区和苏宁平湖智慧电商产业园，开工建设嘉兴机场物流枢纽（圆通嘉兴航空物流枢纽）、海盐智慧海港基地、嘉兴海河联运示范区海盐枢纽工程和嘉兴港区综合物流园（嘉兴港区六里桥海河联运项目）项目。</w:t>
      </w:r>
    </w:p>
    <w:p>
      <w:pPr>
        <w:spacing w:line="580" w:lineRule="exact"/>
        <w:ind w:firstLine="640" w:firstLineChars="200"/>
        <w:rPr>
          <w:rFonts w:ascii="仿宋_GB2312"/>
          <w:szCs w:val="32"/>
        </w:rPr>
      </w:pPr>
      <w:r>
        <w:rPr>
          <w:rFonts w:ascii="仿宋_GB2312"/>
          <w:szCs w:val="32"/>
        </w:rPr>
        <w:t>衢州：重点推进浙西公铁联运综合物流项目、衢州市多式联运枢纽港、衢州高铁西站物流中心等项目。</w:t>
      </w:r>
    </w:p>
    <w:p>
      <w:pPr>
        <w:spacing w:line="580" w:lineRule="exact"/>
        <w:ind w:firstLine="640" w:firstLineChars="200"/>
        <w:rPr>
          <w:szCs w:val="32"/>
        </w:rPr>
      </w:pPr>
      <w:r>
        <w:rPr>
          <w:rFonts w:ascii="仿宋_GB2312"/>
          <w:szCs w:val="32"/>
        </w:rPr>
        <w:t>台州：重点推进台州湾区公铁水多式联运项目，建成天台多功能智能物流综合园、台州传化洲鍠公路港、网营物联智能供应链区域运营总部等项目。</w:t>
      </w:r>
    </w:p>
    <w:p>
      <w:pPr>
        <w:spacing w:line="580" w:lineRule="exact"/>
        <w:ind w:firstLine="640" w:firstLineChars="200"/>
        <w:rPr>
          <w:rFonts w:ascii="仿宋_GB2312"/>
          <w:szCs w:val="32"/>
        </w:rPr>
      </w:pPr>
      <w:r>
        <w:rPr>
          <w:rFonts w:ascii="仿宋_GB2312"/>
          <w:szCs w:val="32"/>
        </w:rPr>
        <w:t>丽水：重点建设龙泉市交通智慧物流港以及浙西南物流中心。</w:t>
      </w:r>
    </w:p>
    <w:p>
      <w:pPr>
        <w:snapToGrid w:val="0"/>
        <w:spacing w:line="580" w:lineRule="exact"/>
        <w:ind w:firstLine="640" w:firstLineChars="200"/>
        <w:outlineLvl w:val="1"/>
        <w:rPr>
          <w:rFonts w:eastAsia="楷体_GB2312"/>
          <w:szCs w:val="32"/>
        </w:rPr>
      </w:pPr>
      <w:r>
        <w:rPr>
          <w:rFonts w:ascii="楷体_GB2312" w:eastAsia="楷体_GB2312"/>
          <w:szCs w:val="32"/>
        </w:rPr>
        <w:t>（四）提升运营服务现代化水平</w:t>
      </w:r>
    </w:p>
    <w:p>
      <w:pPr>
        <w:spacing w:line="580" w:lineRule="exact"/>
        <w:ind w:firstLine="640" w:firstLineChars="200"/>
        <w:rPr>
          <w:rFonts w:hint="eastAsia" w:ascii="仿宋_GB2312"/>
          <w:szCs w:val="32"/>
        </w:rPr>
      </w:pPr>
      <w:r>
        <w:rPr>
          <w:rFonts w:hint="eastAsia" w:ascii="仿宋_GB2312"/>
          <w:szCs w:val="32"/>
        </w:rPr>
        <w:t>优化运营管理模式。加快推进枢纽站场一体化开发。以体制机制为突破口，加强枢纽站场一体化开发的制度保障。坚持“统一规划、统一设计、统一建设、协同管理”的总体原则，推动新建综合客运枢纽各种运输方式集中布局，实现空间共享、立体或同台换乘，打造全天候、一体化换乘环境。加强枢纽建设的跨界融合，支撑引导枢纽建设以及交通运输与产业、城镇、生态等的融合发展，重点支持跨界融合性企业、互联网数字经济创新企业发展，大力推动产业链、供应链优化整合，加快实现设施联通、标准联接、信息联网、企业联盟，保证综合交通枢纽的服务品质、提升管理效率、增强应急协调能力。</w:t>
      </w:r>
    </w:p>
    <w:p>
      <w:pPr>
        <w:spacing w:line="580" w:lineRule="exact"/>
        <w:ind w:firstLine="640" w:firstLineChars="200"/>
        <w:rPr>
          <w:rFonts w:hint="eastAsia" w:ascii="仿宋_GB2312"/>
          <w:szCs w:val="32"/>
        </w:rPr>
      </w:pPr>
      <w:r>
        <w:rPr>
          <w:rFonts w:hint="eastAsia" w:ascii="仿宋_GB2312"/>
          <w:szCs w:val="32"/>
        </w:rPr>
        <w:t>强化统筹协调发展。统筹枢纽交通功能与城市空间功能，实现交通功能与经济效益相统一，有效保障枢纽与城市空间一体融合发展。围绕综合交通枢纽，促进不同运输方式融合发展与无缝衔接，高效利用货运干线网络，推动物流设施集约整合，进一步完善综合枢纽集疏运网络，充分发挥枢纽集群极核功能。依托综合交通枢纽，完善枢纽内部及周边产业功能，引导优化人流、物流、信息流、资金流等要素集聚。围绕萧山机场、杭州西站等重要综合客运枢纽建设，有机融合“未来社区”建设理念，倡导TOD集约式立体化开发模式；围绕海港、河港、空港等货运枢纽建设，谋划“港产城”融合发展新思路、新办法，整合优质要素资源，引导物流节点拓展综合服务功能。</w:t>
      </w:r>
    </w:p>
    <w:p>
      <w:pPr>
        <w:spacing w:line="580" w:lineRule="exact"/>
        <w:ind w:firstLine="640" w:firstLineChars="200"/>
        <w:rPr>
          <w:rFonts w:hint="eastAsia" w:ascii="仿宋_GB2312"/>
          <w:szCs w:val="32"/>
        </w:rPr>
      </w:pPr>
      <w:r>
        <w:rPr>
          <w:rFonts w:hint="eastAsia" w:ascii="仿宋_GB2312"/>
          <w:szCs w:val="32"/>
        </w:rPr>
        <w:t>深化数字技术应用。围绕省委省政府数字化改革要求，以构建数字交通整体智治体系为统领，加快推进枢纽城市数字化建设。将数字化手段厚植在枢纽规划、建设、管理的全生命周期中，通过数字赋能，打破全过程运输壁垒，使高度复杂的枢纽系统实现高水平稳态运行。深化“出行即服务”（MaaS）和物流公共服务，加快建立基于移动互联网的枢纽信息服务系统，实现各方式、各主体之间信息共享，加强区域联网，提升联程联运“一站式票务”服务水平。着力建设一流“智慧枢纽”，加快打造“全数字化”枢纽。 将“智慧枢纽”理念融入杭州西站、杭州机场、宁波机场、温州机场等综合客运枢纽建设。推进华东联运新城多式联运集结地、杭州传化公路港智慧枢纽网等智慧货运枢纽项目。“十四五”期，建设智慧综合客运枢纽60个、智慧货运枢纽5个以上，实现江海联运、海河联运和海铁联运等数智化多式联运服务水平显著提升。</w:t>
      </w:r>
    </w:p>
    <w:p>
      <w:pPr>
        <w:spacing w:line="580" w:lineRule="exact"/>
        <w:ind w:firstLine="640" w:firstLineChars="200"/>
        <w:rPr>
          <w:rFonts w:hint="eastAsia" w:ascii="仿宋_GB2312"/>
          <w:szCs w:val="32"/>
        </w:rPr>
      </w:pPr>
      <w:r>
        <w:rPr>
          <w:rFonts w:hint="eastAsia" w:ascii="仿宋_GB2312"/>
          <w:szCs w:val="32"/>
        </w:rPr>
        <w:t>打造低碳零碳枢纽。大力推动低碳、零碳技术研发，加强现有绿色低碳技术在枢纽领域的推广应用，在新建及改扩建枢纽项目中引入光导照明、雨水调蓄、光伏太阳能、电动汽车充电桩等节能技术，提升基础设施绿色化水平，提高能源利用效率，降低碳排放强度，积极打造低碳枢纽样板。加强综合客运枢纽与轨道交通、地面公交的衔接，提高公共交通的便捷度、舒适度，加快实现无缝换乘，提升全出行链效率，促进交通出行模式转变。以枢纽引领城市空间格局优化，构建功能混用、公交导向、多组团集约紧凑发展的城市布局，促进交通与城市协调发展，打造低碳生活模式。做好多式联运的枢纽衔接，提高不同运输方式一体化协同水平，持续推进大宗货物运输“公转铁、公转水”，全面优化调整交通运输结构。完善货运枢纽网络体系，推广甩挂运输、共同配送等运输组织模式，集约利用物流运输资源，减少运输环节损失。</w:t>
      </w:r>
    </w:p>
    <w:p>
      <w:pPr>
        <w:spacing w:line="580" w:lineRule="exact"/>
        <w:ind w:firstLine="640" w:firstLineChars="200"/>
        <w:rPr>
          <w:rFonts w:hint="eastAsia" w:ascii="仿宋_GB2312"/>
          <w:szCs w:val="32"/>
        </w:rPr>
      </w:pPr>
      <w:r>
        <w:rPr>
          <w:rFonts w:hint="eastAsia" w:ascii="仿宋_GB2312"/>
          <w:szCs w:val="32"/>
        </w:rPr>
        <w:t>创新枢纽经济发展模式。倡导“站城一体”开发理念，打造“圈层拓展+站城融合”的枢纽经济新模式。加快盘活枢纽区域存量资产，挖掘枢纽价值潜力，充分发挥枢纽综合效益。聚焦杭州西站、宁波西站、温州东站、金义站、嘉兴南站等重要客运枢纽，积极推进综合立体开发，实现从单一交通枢纽向商贸金融、购物娱乐、旅游餐饮等消费相关联的一体化综合枢纽跨越提升，打造城市经济发展新的增长极。依托萧山国际机场、宁波栎社国际机场等门户空港枢纽，加快构建现代化航空枢纽经济区，发挥机场、高铁、高速公路一体的枢纽互联互通优势，坚持客货并重、海港空港联动，高水平打造空铁联运综合枢纽。全面优化临港产业布局，加强四港联动，完善联运服务体系。重点依托杭州空港现代智慧物流产业园、宁波空港物流园，加快建设温州航空物流产业园、嘉兴机场物流枢纽。依托义乌国际陆港、宁波货运北站等枢纽，强化与海港、空港协同联动，创新陆港与制造业、服务业等融合联动方式，打造现代化的陆港枢纽经济区。</w:t>
      </w:r>
    </w:p>
    <w:p>
      <w:pPr>
        <w:pStyle w:val="2"/>
        <w:spacing w:line="580" w:lineRule="exact"/>
        <w:ind w:firstLine="640" w:firstLineChars="200"/>
        <w:rPr>
          <w:rFonts w:ascii="Times New Roman" w:hAnsi="Times New Roman"/>
          <w:bCs/>
        </w:rPr>
      </w:pPr>
      <w:r>
        <w:rPr>
          <w:rFonts w:ascii="黑体" w:hAnsi="黑体"/>
          <w:bCs/>
        </w:rPr>
        <w:t>五、保障措施</w:t>
      </w:r>
    </w:p>
    <w:p>
      <w:pPr>
        <w:spacing w:line="580" w:lineRule="exact"/>
        <w:ind w:firstLine="640" w:firstLineChars="200"/>
        <w:outlineLvl w:val="1"/>
        <w:rPr>
          <w:rFonts w:eastAsia="楷体_GB2312"/>
          <w:szCs w:val="32"/>
        </w:rPr>
      </w:pPr>
      <w:r>
        <w:rPr>
          <w:rFonts w:ascii="楷体_GB2312" w:eastAsia="楷体_GB2312"/>
          <w:szCs w:val="32"/>
        </w:rPr>
        <w:t>（一）加强统筹协调。</w:t>
      </w:r>
      <w:r>
        <w:rPr>
          <w:rFonts w:ascii="仿宋_GB2312"/>
          <w:szCs w:val="32"/>
        </w:rPr>
        <w:t>在项目规划、立项审批、用地安排、融资支持、设施配套等方面加强协调，统筹做好</w:t>
      </w:r>
      <w:r>
        <w:rPr>
          <w:rFonts w:hint="eastAsia" w:ascii="仿宋_GB2312"/>
          <w:szCs w:val="32"/>
        </w:rPr>
        <w:t>各种</w:t>
      </w:r>
      <w:r>
        <w:rPr>
          <w:rFonts w:ascii="仿宋_GB2312"/>
          <w:szCs w:val="32"/>
        </w:rPr>
        <w:t>运输方式</w:t>
      </w:r>
      <w:r>
        <w:rPr>
          <w:rFonts w:hint="eastAsia" w:ascii="仿宋_GB2312"/>
          <w:szCs w:val="32"/>
        </w:rPr>
        <w:t>以及多</w:t>
      </w:r>
      <w:r>
        <w:rPr>
          <w:rFonts w:ascii="仿宋_GB2312"/>
          <w:szCs w:val="32"/>
        </w:rPr>
        <w:t>部门的协调，合力保障枢纽项目建设顺利推进。</w:t>
      </w:r>
    </w:p>
    <w:p>
      <w:pPr>
        <w:spacing w:line="620" w:lineRule="exact"/>
        <w:ind w:firstLine="640" w:firstLineChars="200"/>
        <w:outlineLvl w:val="1"/>
        <w:rPr>
          <w:rFonts w:eastAsia="楷体_GB2312"/>
          <w:szCs w:val="32"/>
        </w:rPr>
      </w:pPr>
      <w:r>
        <w:rPr>
          <w:rFonts w:ascii="楷体_GB2312" w:eastAsia="楷体_GB2312"/>
          <w:szCs w:val="32"/>
        </w:rPr>
        <w:t>（二）强化要素保障。</w:t>
      </w:r>
      <w:r>
        <w:rPr>
          <w:rFonts w:ascii="仿宋_GB2312"/>
          <w:szCs w:val="32"/>
        </w:rPr>
        <w:t>强化土地要素支撑，充分衔接国土空间规划，统筹解决用地指标，做好用地控制和预留，保障枢纽项目及时落地。创新综合交通枢纽项目投融资模式，鼓励和引导社会资本参与枢纽建设，积极采取资本合作、土地综合开发、股权融资、特许经营等方式强化资金保障。</w:t>
      </w:r>
    </w:p>
    <w:p>
      <w:pPr>
        <w:spacing w:line="620" w:lineRule="exact"/>
        <w:ind w:firstLine="640" w:firstLineChars="200"/>
        <w:rPr>
          <w:rFonts w:hint="eastAsia" w:ascii="仿宋_GB2312"/>
          <w:szCs w:val="32"/>
        </w:rPr>
      </w:pPr>
      <w:r>
        <w:rPr>
          <w:rFonts w:ascii="楷体_GB2312" w:eastAsia="楷体_GB2312"/>
          <w:szCs w:val="32"/>
        </w:rPr>
        <w:t>（三）创新建设理念。</w:t>
      </w:r>
      <w:r>
        <w:rPr>
          <w:rFonts w:ascii="仿宋_GB2312"/>
          <w:szCs w:val="32"/>
        </w:rPr>
        <w:t>注重综合交通枢纽建设与城市空间、产业发展的动态融合，在保证枢纽基本公共服务功能和主要技术指标的前提下做好功能拓展与内涵提升，强化枢纽建设对空间拓展、区域发展、产业布局的支撑引领</w:t>
      </w:r>
      <w:r>
        <w:rPr>
          <w:rFonts w:hint="eastAsia" w:ascii="仿宋_GB2312"/>
          <w:szCs w:val="32"/>
        </w:rPr>
        <w:t>：</w:t>
      </w:r>
    </w:p>
    <w:p>
      <w:pPr>
        <w:spacing w:line="620" w:lineRule="exact"/>
        <w:ind w:firstLine="640" w:firstLineChars="200"/>
        <w:outlineLvl w:val="1"/>
        <w:rPr>
          <w:rFonts w:ascii="仿宋_GB2312"/>
          <w:szCs w:val="32"/>
        </w:rPr>
        <w:sectPr>
          <w:headerReference r:id="rId3" w:type="default"/>
          <w:footerReference r:id="rId5" w:type="default"/>
          <w:headerReference r:id="rId4" w:type="even"/>
          <w:footerReference r:id="rId6" w:type="even"/>
          <w:pgSz w:w="12240" w:h="15840"/>
          <w:pgMar w:top="1440" w:right="1800" w:bottom="1440" w:left="1800" w:header="720" w:footer="720" w:gutter="0"/>
          <w:cols w:space="720" w:num="1"/>
        </w:sectPr>
      </w:pPr>
    </w:p>
    <w:p>
      <w:pPr>
        <w:widowControl/>
        <w:rPr>
          <w:rFonts w:hint="eastAsia" w:ascii="黑体" w:hAnsi="黑体" w:eastAsia="黑体"/>
          <w:color w:val="000000"/>
          <w:kern w:val="0"/>
          <w:szCs w:val="32"/>
        </w:rPr>
      </w:pPr>
      <w:r>
        <w:rPr>
          <w:rFonts w:hint="eastAsia" w:ascii="黑体" w:hAnsi="黑体" w:eastAsia="黑体"/>
          <w:color w:val="000000"/>
          <w:kern w:val="0"/>
          <w:szCs w:val="32"/>
        </w:rPr>
        <w:t>附件1</w:t>
      </w:r>
    </w:p>
    <w:p>
      <w:pPr>
        <w:widowControl/>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浙江省综合交通枢纽“十四五”规划项目表（综合客运枢纽）</w:t>
      </w:r>
    </w:p>
    <w:tbl>
      <w:tblPr>
        <w:tblStyle w:val="5"/>
        <w:tblW w:w="13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660"/>
        <w:gridCol w:w="1240"/>
        <w:gridCol w:w="3035"/>
        <w:gridCol w:w="1446"/>
        <w:gridCol w:w="2374"/>
        <w:gridCol w:w="1212"/>
        <w:gridCol w:w="1701"/>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黑体" w:hAnsi="黑体" w:eastAsia="黑体"/>
                <w:bCs/>
                <w:kern w:val="0"/>
                <w:sz w:val="21"/>
                <w:szCs w:val="21"/>
              </w:rPr>
            </w:pPr>
            <w:r>
              <w:rPr>
                <w:rFonts w:hint="eastAsia" w:ascii="黑体" w:hAnsi="黑体" w:eastAsia="黑体"/>
                <w:bCs/>
                <w:kern w:val="0"/>
                <w:sz w:val="21"/>
                <w:szCs w:val="21"/>
              </w:rPr>
              <w:t>地区</w:t>
            </w:r>
          </w:p>
        </w:tc>
        <w:tc>
          <w:tcPr>
            <w:tcW w:w="660"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bCs/>
                <w:kern w:val="0"/>
                <w:sz w:val="21"/>
                <w:szCs w:val="21"/>
              </w:rPr>
            </w:pPr>
            <w:r>
              <w:rPr>
                <w:rFonts w:hint="eastAsia" w:ascii="黑体" w:hAnsi="黑体" w:eastAsia="黑体"/>
                <w:bCs/>
                <w:kern w:val="0"/>
                <w:sz w:val="21"/>
                <w:szCs w:val="21"/>
              </w:rPr>
              <w:t>序号</w:t>
            </w:r>
          </w:p>
        </w:tc>
        <w:tc>
          <w:tcPr>
            <w:tcW w:w="1240"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bCs/>
                <w:kern w:val="0"/>
                <w:sz w:val="21"/>
                <w:szCs w:val="21"/>
              </w:rPr>
            </w:pPr>
            <w:r>
              <w:rPr>
                <w:rFonts w:hint="eastAsia" w:ascii="黑体" w:hAnsi="黑体" w:eastAsia="黑体"/>
                <w:bCs/>
                <w:kern w:val="0"/>
                <w:sz w:val="21"/>
                <w:szCs w:val="21"/>
              </w:rPr>
              <w:t>枢纽层级</w:t>
            </w:r>
          </w:p>
        </w:tc>
        <w:tc>
          <w:tcPr>
            <w:tcW w:w="3035"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bCs/>
                <w:kern w:val="0"/>
                <w:sz w:val="21"/>
                <w:szCs w:val="21"/>
              </w:rPr>
            </w:pPr>
            <w:r>
              <w:rPr>
                <w:rFonts w:hint="eastAsia" w:ascii="黑体" w:hAnsi="黑体" w:eastAsia="黑体"/>
                <w:bCs/>
                <w:kern w:val="0"/>
                <w:sz w:val="21"/>
                <w:szCs w:val="21"/>
              </w:rPr>
              <w:t>枢纽名称</w:t>
            </w:r>
          </w:p>
        </w:tc>
        <w:tc>
          <w:tcPr>
            <w:tcW w:w="144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bCs/>
                <w:kern w:val="0"/>
                <w:sz w:val="21"/>
                <w:szCs w:val="21"/>
              </w:rPr>
            </w:pPr>
            <w:r>
              <w:rPr>
                <w:rFonts w:hint="eastAsia" w:ascii="黑体" w:hAnsi="黑体" w:eastAsia="黑体"/>
                <w:bCs/>
                <w:kern w:val="0"/>
                <w:sz w:val="21"/>
                <w:szCs w:val="21"/>
              </w:rPr>
              <w:t>枢纽类型</w:t>
            </w:r>
          </w:p>
        </w:tc>
        <w:tc>
          <w:tcPr>
            <w:tcW w:w="2374"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黑体" w:hAnsi="黑体" w:eastAsia="黑体"/>
                <w:bCs/>
                <w:kern w:val="0"/>
                <w:sz w:val="21"/>
                <w:szCs w:val="21"/>
              </w:rPr>
            </w:pPr>
            <w:r>
              <w:rPr>
                <w:rFonts w:hint="eastAsia" w:ascii="黑体" w:hAnsi="黑体" w:eastAsia="黑体"/>
                <w:bCs/>
                <w:kern w:val="0"/>
                <w:sz w:val="21"/>
                <w:szCs w:val="21"/>
              </w:rPr>
              <w:t>建设项目名称</w:t>
            </w:r>
          </w:p>
        </w:tc>
        <w:tc>
          <w:tcPr>
            <w:tcW w:w="1212"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bCs/>
                <w:kern w:val="0"/>
                <w:sz w:val="21"/>
                <w:szCs w:val="21"/>
              </w:rPr>
            </w:pPr>
            <w:r>
              <w:rPr>
                <w:rFonts w:hint="eastAsia" w:ascii="黑体" w:hAnsi="黑体" w:eastAsia="黑体"/>
                <w:bCs/>
                <w:kern w:val="0"/>
                <w:sz w:val="21"/>
                <w:szCs w:val="21"/>
              </w:rPr>
              <w:t>总投资</w:t>
            </w:r>
          </w:p>
          <w:p>
            <w:pPr>
              <w:widowControl/>
              <w:jc w:val="center"/>
              <w:rPr>
                <w:rFonts w:hint="eastAsia" w:ascii="黑体" w:hAnsi="黑体" w:eastAsia="黑体"/>
                <w:bCs/>
                <w:kern w:val="0"/>
                <w:sz w:val="21"/>
                <w:szCs w:val="21"/>
              </w:rPr>
            </w:pPr>
            <w:r>
              <w:rPr>
                <w:rFonts w:hint="eastAsia" w:ascii="黑体" w:hAnsi="黑体" w:eastAsia="黑体"/>
                <w:bCs/>
                <w:kern w:val="0"/>
                <w:sz w:val="21"/>
                <w:szCs w:val="21"/>
              </w:rPr>
              <w:t>（亿元）</w:t>
            </w:r>
          </w:p>
        </w:tc>
        <w:tc>
          <w:tcPr>
            <w:tcW w:w="1701"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bCs/>
                <w:kern w:val="0"/>
                <w:sz w:val="21"/>
                <w:szCs w:val="21"/>
              </w:rPr>
            </w:pPr>
            <w:r>
              <w:rPr>
                <w:rFonts w:hint="eastAsia" w:ascii="黑体" w:hAnsi="黑体" w:eastAsia="黑体"/>
                <w:bCs/>
                <w:kern w:val="0"/>
                <w:sz w:val="21"/>
                <w:szCs w:val="21"/>
              </w:rPr>
              <w:t>“十四五”投资（亿元）</w:t>
            </w:r>
          </w:p>
        </w:tc>
        <w:tc>
          <w:tcPr>
            <w:tcW w:w="1074"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bCs/>
                <w:kern w:val="0"/>
                <w:sz w:val="21"/>
                <w:szCs w:val="21"/>
              </w:rPr>
            </w:pPr>
            <w:r>
              <w:rPr>
                <w:rFonts w:hint="eastAsia" w:ascii="黑体" w:hAnsi="黑体" w:eastAsia="黑体"/>
                <w:bCs/>
                <w:kern w:val="0"/>
                <w:sz w:val="21"/>
                <w:szCs w:val="21"/>
              </w:rPr>
              <w:t>总用地（公顷）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kern w:val="0"/>
                <w:sz w:val="21"/>
                <w:szCs w:val="21"/>
              </w:rPr>
            </w:pPr>
          </w:p>
        </w:tc>
        <w:tc>
          <w:tcPr>
            <w:tcW w:w="660"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 w:val="21"/>
                <w:szCs w:val="21"/>
              </w:rPr>
            </w:pPr>
          </w:p>
        </w:tc>
        <w:tc>
          <w:tcPr>
            <w:tcW w:w="1240"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 w:val="21"/>
                <w:szCs w:val="21"/>
              </w:rPr>
            </w:pPr>
          </w:p>
        </w:tc>
        <w:tc>
          <w:tcPr>
            <w:tcW w:w="3035"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 w:val="21"/>
                <w:szCs w:val="21"/>
              </w:rPr>
            </w:pPr>
          </w:p>
        </w:tc>
        <w:tc>
          <w:tcPr>
            <w:tcW w:w="1446"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 w:val="21"/>
                <w:szCs w:val="21"/>
              </w:rPr>
            </w:pPr>
          </w:p>
        </w:tc>
        <w:tc>
          <w:tcPr>
            <w:tcW w:w="2374"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 w:val="21"/>
                <w:szCs w:val="21"/>
              </w:rPr>
            </w:pPr>
          </w:p>
        </w:tc>
        <w:tc>
          <w:tcPr>
            <w:tcW w:w="1212"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 w:val="21"/>
                <w:szCs w:val="21"/>
              </w:rPr>
            </w:pPr>
          </w:p>
        </w:tc>
        <w:tc>
          <w:tcPr>
            <w:tcW w:w="1701"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 w:val="21"/>
                <w:szCs w:val="21"/>
              </w:rPr>
            </w:pPr>
          </w:p>
        </w:tc>
        <w:tc>
          <w:tcPr>
            <w:tcW w:w="1074" w:type="dxa"/>
            <w:vMerge w:val="continue"/>
            <w:tcBorders>
              <w:top w:val="single" w:color="auto" w:sz="4" w:space="0"/>
              <w:left w:val="nil"/>
              <w:bottom w:val="single" w:color="auto" w:sz="4" w:space="0"/>
              <w:right w:val="single" w:color="auto" w:sz="4" w:space="0"/>
            </w:tcBorders>
            <w:noWrap w:val="0"/>
            <w:vAlign w:val="center"/>
          </w:tcPr>
          <w:p>
            <w:pPr>
              <w:widowControl/>
              <w:jc w:val="left"/>
              <w:rPr>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670" w:type="dxa"/>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kern w:val="0"/>
                <w:sz w:val="21"/>
                <w:szCs w:val="21"/>
              </w:rPr>
            </w:pPr>
          </w:p>
        </w:tc>
        <w:tc>
          <w:tcPr>
            <w:tcW w:w="1240" w:type="dxa"/>
            <w:tcBorders>
              <w:top w:val="single" w:color="auto" w:sz="4" w:space="0"/>
              <w:left w:val="nil"/>
              <w:bottom w:val="single" w:color="auto" w:sz="4" w:space="0"/>
              <w:right w:val="single" w:color="auto" w:sz="4" w:space="0"/>
            </w:tcBorders>
            <w:noWrap/>
            <w:vAlign w:val="center"/>
          </w:tcPr>
          <w:p>
            <w:pPr>
              <w:widowControl/>
              <w:jc w:val="center"/>
              <w:rPr>
                <w:kern w:val="0"/>
                <w:sz w:val="21"/>
                <w:szCs w:val="21"/>
              </w:rPr>
            </w:pPr>
          </w:p>
        </w:tc>
        <w:tc>
          <w:tcPr>
            <w:tcW w:w="3035" w:type="dxa"/>
            <w:tcBorders>
              <w:top w:val="single" w:color="auto" w:sz="4" w:space="0"/>
              <w:left w:val="nil"/>
              <w:bottom w:val="single" w:color="auto" w:sz="4" w:space="0"/>
              <w:right w:val="single" w:color="auto" w:sz="4" w:space="0"/>
            </w:tcBorders>
            <w:noWrap w:val="0"/>
            <w:vAlign w:val="center"/>
          </w:tcPr>
          <w:p>
            <w:pPr>
              <w:widowControl/>
              <w:jc w:val="center"/>
              <w:rPr>
                <w:rFonts w:ascii="楷体_GB2312" w:eastAsia="楷体_GB2312"/>
                <w:bCs/>
                <w:kern w:val="0"/>
                <w:sz w:val="21"/>
                <w:szCs w:val="21"/>
              </w:rPr>
            </w:pPr>
            <w:r>
              <w:rPr>
                <w:rFonts w:ascii="楷体_GB2312" w:eastAsia="楷体_GB2312"/>
                <w:bCs/>
                <w:kern w:val="0"/>
                <w:sz w:val="21"/>
                <w:szCs w:val="21"/>
              </w:rPr>
              <w:t>合计</w:t>
            </w:r>
          </w:p>
        </w:tc>
        <w:tc>
          <w:tcPr>
            <w:tcW w:w="1446" w:type="dxa"/>
            <w:tcBorders>
              <w:top w:val="single" w:color="auto" w:sz="4" w:space="0"/>
              <w:left w:val="nil"/>
              <w:bottom w:val="single" w:color="auto" w:sz="4" w:space="0"/>
              <w:right w:val="single" w:color="auto" w:sz="4" w:space="0"/>
            </w:tcBorders>
            <w:noWrap w:val="0"/>
            <w:vAlign w:val="center"/>
          </w:tcPr>
          <w:p>
            <w:pPr>
              <w:widowControl/>
              <w:jc w:val="center"/>
              <w:rPr>
                <w:rFonts w:ascii="楷体_GB2312" w:eastAsia="楷体_GB2312"/>
                <w:bCs/>
                <w:kern w:val="0"/>
                <w:sz w:val="21"/>
                <w:szCs w:val="21"/>
              </w:rPr>
            </w:pP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ascii="楷体_GB2312" w:eastAsia="楷体_GB2312"/>
                <w:bCs/>
                <w:kern w:val="0"/>
                <w:sz w:val="21"/>
                <w:szCs w:val="21"/>
              </w:rPr>
            </w:pP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ascii="楷体_GB2312" w:eastAsia="楷体_GB2312"/>
                <w:bCs/>
                <w:kern w:val="0"/>
                <w:sz w:val="21"/>
                <w:szCs w:val="21"/>
              </w:rPr>
            </w:pPr>
            <w:r>
              <w:rPr>
                <w:rFonts w:ascii="楷体_GB2312" w:eastAsia="楷体_GB2312"/>
                <w:bCs/>
                <w:kern w:val="0"/>
                <w:sz w:val="21"/>
                <w:szCs w:val="21"/>
              </w:rPr>
              <w:t>1712</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楷体_GB2312" w:eastAsia="楷体_GB2312"/>
                <w:bCs/>
                <w:kern w:val="0"/>
                <w:sz w:val="21"/>
                <w:szCs w:val="21"/>
              </w:rPr>
            </w:pPr>
            <w:r>
              <w:rPr>
                <w:rFonts w:ascii="楷体_GB2312" w:eastAsia="楷体_GB2312"/>
                <w:bCs/>
                <w:kern w:val="0"/>
                <w:sz w:val="21"/>
                <w:szCs w:val="21"/>
              </w:rPr>
              <w:t>1387</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ascii="楷体_GB2312" w:eastAsia="楷体_GB2312"/>
                <w:bCs/>
                <w:kern w:val="0"/>
                <w:sz w:val="21"/>
                <w:szCs w:val="21"/>
              </w:rPr>
            </w:pPr>
            <w:r>
              <w:rPr>
                <w:rFonts w:ascii="楷体_GB2312" w:eastAsia="楷体_GB2312"/>
                <w:bCs/>
                <w:kern w:val="0"/>
                <w:sz w:val="21"/>
                <w:szCs w:val="21"/>
              </w:rPr>
              <w:t>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杭州</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门户型</w:t>
            </w:r>
          </w:p>
        </w:tc>
        <w:tc>
          <w:tcPr>
            <w:tcW w:w="30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杭州机场（萧山机场站）</w:t>
            </w:r>
          </w:p>
        </w:tc>
        <w:tc>
          <w:tcPr>
            <w:tcW w:w="144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航空主导型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萧山机场综合交通枢纽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270.7</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117.6</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门户型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杭州西站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杭州铁路西站枢纽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105.3</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99.2</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富阳西站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富阳西站前综合体工程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桐庐东站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桐庐东站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建德南站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建衢铁路建德南站客运枢纽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6</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桐庐站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桐庐综合客运枢纽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4.7</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4.7</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宁波</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7</w:t>
            </w:r>
          </w:p>
        </w:tc>
        <w:tc>
          <w:tcPr>
            <w:tcW w:w="1240"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门户型</w:t>
            </w:r>
          </w:p>
        </w:tc>
        <w:tc>
          <w:tcPr>
            <w:tcW w:w="3035"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宁波机场（宁波西站）</w:t>
            </w:r>
          </w:p>
        </w:tc>
        <w:tc>
          <w:tcPr>
            <w:tcW w:w="144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航空主导型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宁波栎社机场四期</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490</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490</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8</w:t>
            </w:r>
          </w:p>
        </w:tc>
        <w:tc>
          <w:tcPr>
            <w:tcW w:w="124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303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144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宁波西铁路枢纽</w:t>
            </w:r>
          </w:p>
        </w:tc>
        <w:tc>
          <w:tcPr>
            <w:tcW w:w="12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150</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 xml:space="preserve">150 </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9</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地区型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宁波东站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甬舟铁路宁波东站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10</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 xml:space="preserve">10 </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10</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奉化站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金甬铁路奉化站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 xml:space="preserve">4 </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温州</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11</w:t>
            </w:r>
          </w:p>
        </w:tc>
        <w:tc>
          <w:tcPr>
            <w:tcW w:w="1240"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门户型</w:t>
            </w:r>
          </w:p>
        </w:tc>
        <w:tc>
          <w:tcPr>
            <w:tcW w:w="3035"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温州机场（温州东站）</w:t>
            </w:r>
          </w:p>
        </w:tc>
        <w:tc>
          <w:tcPr>
            <w:tcW w:w="144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航空主导型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温州机场交通枢纽综合体及公用配套工程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200</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120</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12</w:t>
            </w:r>
          </w:p>
        </w:tc>
        <w:tc>
          <w:tcPr>
            <w:tcW w:w="124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303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144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温州东部综合交通枢纽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8</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13</w:t>
            </w:r>
          </w:p>
        </w:tc>
        <w:tc>
          <w:tcPr>
            <w:tcW w:w="124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303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144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温州机场交通枢纽综合体及公用配套工程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35.1</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14</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14</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地区型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温州南站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温州南站综合交通枢纽中心</w:t>
            </w:r>
          </w:p>
        </w:tc>
        <w:tc>
          <w:tcPr>
            <w:tcW w:w="121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11.4</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11.4</w:t>
            </w:r>
          </w:p>
        </w:tc>
        <w:tc>
          <w:tcPr>
            <w:tcW w:w="107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kern w:val="0"/>
                <w:sz w:val="21"/>
                <w:szCs w:val="21"/>
              </w:rPr>
            </w:pPr>
            <w:r>
              <w:rPr>
                <w:rFonts w:hint="eastAsia" w:ascii="仿宋_GB2312"/>
                <w:kern w:val="0"/>
                <w:sz w:val="21"/>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15</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温州北站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温州北站综合交通枢纽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14</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14</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16</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瑞安站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瑞安站交通枢纽扩建工程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0.5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17</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乐清站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乐清站综合交通枢纽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10</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18</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苍南站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杭深铁路苍南站改扩建工程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0.5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19</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文成站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温武吉铁路文成站综合交通枢纽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0.5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20</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泰顺站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温武吉铁路泰顺站综合交通枢纽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0.5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金华</w:t>
            </w:r>
          </w:p>
          <w:p>
            <w:pPr>
              <w:widowControl/>
              <w:jc w:val="left"/>
              <w:rPr>
                <w:rFonts w:hint="eastAsia" w:ascii="仿宋_GB2312"/>
                <w:color w:val="000000"/>
                <w:kern w:val="0"/>
                <w:sz w:val="21"/>
                <w:szCs w:val="21"/>
              </w:rPr>
            </w:pPr>
            <w:r>
              <w:rPr>
                <w:rFonts w:hint="eastAsia" w:ascii="仿宋_GB2312"/>
                <w:color w:val="000000"/>
                <w:kern w:val="0"/>
                <w:sz w:val="21"/>
                <w:szCs w:val="21"/>
              </w:rPr>
              <w:t>（义乌）</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22</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义乌站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义乌高架站房建设工程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20.38</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20.38</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23</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磐安站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杭温高铁磐安站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11</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11</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24</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东阳站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金甬铁路东阳枢纽站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25</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浦江站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杭温高铁浦江站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12.94</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12.94</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26</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横店站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杭温高铁横店站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8</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8</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绍兴</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27</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绍兴北站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绍兴高铁北站TOD综合体项目（A区块）建设工程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3.85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3.85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28</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东关站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杭绍台铁路上虞南站枢纽（杭绍台高铁东关站）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1.22</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1.22</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29</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嵊州新昌站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铁路嵊新站综合枢纽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3.2</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3.2</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湖州</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30</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湖州东站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沪苏湖铁路湖州东综合枢纽工程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31</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南浔站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沪苏湖铁路南浔站交通枢纽配套工程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19.2</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19.2</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嘉兴</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32</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嘉兴南站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高铁嘉兴南站站城一体综合体</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40</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40</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33</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海宁南站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海宁观潮站站城一体开发</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20</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18</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34</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海宁西站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海宁西站综合枢纽及配套</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35</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嘉善站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沪昆铁路嘉善站</w:t>
            </w:r>
          </w:p>
        </w:tc>
        <w:tc>
          <w:tcPr>
            <w:tcW w:w="1212" w:type="dxa"/>
            <w:tcBorders>
              <w:top w:val="single" w:color="auto" w:sz="4" w:space="0"/>
              <w:left w:val="nil"/>
              <w:bottom w:val="single" w:color="auto" w:sz="4" w:space="0"/>
              <w:right w:val="single" w:color="auto" w:sz="4" w:space="0"/>
            </w:tcBorders>
            <w:noWrap/>
            <w:vAlign w:val="top"/>
          </w:tcPr>
          <w:p>
            <w:pPr>
              <w:widowControl/>
              <w:jc w:val="center"/>
              <w:rPr>
                <w:rFonts w:hint="eastAsia" w:ascii="仿宋_GB2312"/>
                <w:kern w:val="0"/>
                <w:sz w:val="21"/>
                <w:szCs w:val="21"/>
              </w:rPr>
            </w:pPr>
            <w:r>
              <w:rPr>
                <w:rFonts w:hint="eastAsia" w:ascii="仿宋_GB2312"/>
                <w:kern w:val="0"/>
                <w:sz w:val="21"/>
                <w:szCs w:val="21"/>
              </w:rPr>
              <w:t>80</w:t>
            </w:r>
          </w:p>
        </w:tc>
        <w:tc>
          <w:tcPr>
            <w:tcW w:w="1701" w:type="dxa"/>
            <w:tcBorders>
              <w:top w:val="single" w:color="auto" w:sz="4" w:space="0"/>
              <w:left w:val="nil"/>
              <w:bottom w:val="single" w:color="auto" w:sz="4" w:space="0"/>
              <w:right w:val="single" w:color="auto" w:sz="4" w:space="0"/>
            </w:tcBorders>
            <w:noWrap/>
            <w:vAlign w:val="top"/>
          </w:tcPr>
          <w:p>
            <w:pPr>
              <w:widowControl/>
              <w:jc w:val="center"/>
              <w:rPr>
                <w:rFonts w:hint="eastAsia" w:ascii="仿宋_GB2312"/>
                <w:kern w:val="0"/>
                <w:sz w:val="21"/>
                <w:szCs w:val="21"/>
              </w:rPr>
            </w:pPr>
            <w:r>
              <w:rPr>
                <w:rFonts w:hint="eastAsia" w:ascii="仿宋_GB2312"/>
                <w:kern w:val="0"/>
                <w:sz w:val="21"/>
                <w:szCs w:val="21"/>
              </w:rPr>
              <w:t>80</w:t>
            </w:r>
          </w:p>
        </w:tc>
        <w:tc>
          <w:tcPr>
            <w:tcW w:w="1074" w:type="dxa"/>
            <w:tcBorders>
              <w:top w:val="single" w:color="auto" w:sz="4" w:space="0"/>
              <w:left w:val="nil"/>
              <w:bottom w:val="single" w:color="auto" w:sz="4" w:space="0"/>
              <w:right w:val="single" w:color="auto" w:sz="4" w:space="0"/>
            </w:tcBorders>
            <w:noWrap/>
            <w:vAlign w:val="top"/>
          </w:tcPr>
          <w:p>
            <w:pPr>
              <w:widowControl/>
              <w:jc w:val="center"/>
              <w:rPr>
                <w:rFonts w:hint="eastAsia" w:ascii="仿宋_GB2312"/>
                <w:kern w:val="0"/>
                <w:sz w:val="21"/>
                <w:szCs w:val="21"/>
              </w:rPr>
            </w:pPr>
            <w:r>
              <w:rPr>
                <w:rFonts w:hint="eastAsia" w:ascii="仿宋_GB2312"/>
                <w:kern w:val="0"/>
                <w:sz w:val="21"/>
                <w:szCs w:val="21"/>
              </w:rPr>
              <w:t>66.67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衢州</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36</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衢州西站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杭衢高铁衢州西站综合交通枢纽及配套项目</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6.4</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6.4</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37</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莲花站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杭衢高铁（莲花站）客运枢纽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38</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常山站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常山县公铁衔接型综合客运中心改扩建</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2.1</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2.1</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39</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龙游站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龙游县综合客运枢纽改扩建</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 xml:space="preserve">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台州</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40</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台州机场</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航空主导型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台州路桥机场改扩建</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36.3</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25.4</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41</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台州中心站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台州中心站综合客运枢纽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1.6</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1.6</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42</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临海站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临海站停车场及配套工程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10.1</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8.1</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43</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温岭站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铁路温岭站综合交通枢纽工程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0.9</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0.6</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44</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天台站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天台县综合交通枢纽建设工程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1.6</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1.6</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45</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仙居站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仙居杭温高铁综合枢纽工程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46</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玉环站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杭绍台高铁玉环站交通枢纽站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0.3</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0.1</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丽水</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47</w:t>
            </w:r>
          </w:p>
        </w:tc>
        <w:tc>
          <w:tcPr>
            <w:tcW w:w="1240"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3035"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丽水机场</w:t>
            </w:r>
          </w:p>
        </w:tc>
        <w:tc>
          <w:tcPr>
            <w:tcW w:w="1446"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航空主导型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丽水机场客运枢纽</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29</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22</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48</w:t>
            </w:r>
          </w:p>
        </w:tc>
        <w:tc>
          <w:tcPr>
            <w:tcW w:w="124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3035"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1446"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丽水市水东综合客运枢纽B地块项目</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26</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12.68</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color w:val="000000"/>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49</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30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龙泉站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龙泉市旅游集散换乘中心</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舟山</w:t>
            </w: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50</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地区型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舟山白泉站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甬舟铁路舟山站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51</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马岱站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甬舟铁路马岙站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1.76</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52</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金塘站</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铁路主导型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甬舟铁路金塘站</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2.4</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53</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沈家湾客运码头</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水运主导型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沈家湾客运中心二期工程</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1.5</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1.5</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54</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燕窝山客运中心</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水运主导型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岱山县燕窝山客运中心</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1.1</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1.1</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6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kern w:val="0"/>
                <w:sz w:val="21"/>
                <w:szCs w:val="21"/>
              </w:rPr>
            </w:pPr>
          </w:p>
        </w:tc>
        <w:tc>
          <w:tcPr>
            <w:tcW w:w="66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55</w:t>
            </w:r>
          </w:p>
        </w:tc>
        <w:tc>
          <w:tcPr>
            <w:tcW w:w="124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一般型</w:t>
            </w:r>
          </w:p>
        </w:tc>
        <w:tc>
          <w:tcPr>
            <w:tcW w:w="3035"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嵊泗交通旅游集散中心</w:t>
            </w:r>
          </w:p>
        </w:tc>
        <w:tc>
          <w:tcPr>
            <w:tcW w:w="1446"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水运主导型</w:t>
            </w:r>
          </w:p>
        </w:tc>
        <w:tc>
          <w:tcPr>
            <w:tcW w:w="23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嵊泗县交通旅游集散中心</w:t>
            </w:r>
          </w:p>
        </w:tc>
        <w:tc>
          <w:tcPr>
            <w:tcW w:w="1212"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2.41</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2.41</w:t>
            </w:r>
          </w:p>
        </w:tc>
        <w:tc>
          <w:tcPr>
            <w:tcW w:w="1074"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kern w:val="0"/>
                <w:sz w:val="21"/>
                <w:szCs w:val="21"/>
              </w:rPr>
            </w:pPr>
            <w:r>
              <w:rPr>
                <w:rFonts w:hint="eastAsia" w:ascii="仿宋_GB2312"/>
                <w:kern w:val="0"/>
                <w:sz w:val="21"/>
                <w:szCs w:val="21"/>
              </w:rPr>
              <w:t>3.7</w:t>
            </w:r>
          </w:p>
        </w:tc>
      </w:tr>
    </w:tbl>
    <w:p>
      <w:pPr>
        <w:widowControl/>
        <w:jc w:val="left"/>
        <w:rPr>
          <w:rFonts w:eastAsia="方正小标宋简体"/>
          <w:color w:val="000000"/>
          <w:kern w:val="0"/>
          <w:sz w:val="44"/>
          <w:szCs w:val="44"/>
        </w:rPr>
        <w:sectPr>
          <w:headerReference r:id="rId7" w:type="default"/>
          <w:footerReference r:id="rId8" w:type="default"/>
          <w:footerReference r:id="rId9" w:type="even"/>
          <w:pgSz w:w="16839" w:h="11907" w:orient="landscape"/>
          <w:pgMar w:top="2098" w:right="1474" w:bottom="1984" w:left="1587" w:header="720" w:footer="720" w:gutter="0"/>
          <w:cols w:space="720" w:num="1"/>
          <w:docGrid w:linePitch="312" w:charSpace="0"/>
        </w:sectPr>
      </w:pPr>
    </w:p>
    <w:p>
      <w:pPr>
        <w:widowControl/>
        <w:rPr>
          <w:rFonts w:hint="eastAsia" w:ascii="黑体" w:hAnsi="黑体" w:eastAsia="黑体"/>
          <w:color w:val="000000"/>
          <w:kern w:val="0"/>
          <w:szCs w:val="32"/>
        </w:rPr>
      </w:pPr>
      <w:r>
        <w:rPr>
          <w:rFonts w:hint="eastAsia" w:ascii="黑体" w:hAnsi="黑体" w:eastAsia="黑体"/>
          <w:color w:val="000000"/>
          <w:kern w:val="0"/>
          <w:szCs w:val="32"/>
        </w:rPr>
        <w:t>附件2</w:t>
      </w:r>
    </w:p>
    <w:p>
      <w:pPr>
        <w:widowControl/>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浙江省综合交通枢纽“十四五”规划项目表（综合货运枢纽）</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79"/>
        <w:gridCol w:w="1073"/>
        <w:gridCol w:w="2824"/>
        <w:gridCol w:w="1480"/>
        <w:gridCol w:w="2156"/>
        <w:gridCol w:w="1214"/>
        <w:gridCol w:w="1614"/>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269" w:type="pct"/>
            <w:noWrap w:val="0"/>
            <w:vAlign w:val="center"/>
          </w:tcPr>
          <w:p>
            <w:pPr>
              <w:widowControl/>
              <w:jc w:val="center"/>
              <w:rPr>
                <w:rFonts w:ascii="黑体" w:hAnsi="黑体" w:eastAsia="黑体"/>
                <w:bCs/>
                <w:kern w:val="0"/>
                <w:sz w:val="21"/>
                <w:szCs w:val="21"/>
              </w:rPr>
            </w:pPr>
            <w:r>
              <w:rPr>
                <w:rFonts w:ascii="黑体" w:hAnsi="黑体" w:eastAsia="黑体"/>
                <w:bCs/>
                <w:kern w:val="0"/>
                <w:sz w:val="21"/>
                <w:szCs w:val="21"/>
              </w:rPr>
              <w:t>地区</w:t>
            </w:r>
          </w:p>
        </w:tc>
        <w:tc>
          <w:tcPr>
            <w:tcW w:w="269" w:type="pct"/>
            <w:noWrap w:val="0"/>
            <w:vAlign w:val="center"/>
          </w:tcPr>
          <w:p>
            <w:pPr>
              <w:widowControl/>
              <w:jc w:val="center"/>
              <w:rPr>
                <w:rFonts w:ascii="黑体" w:hAnsi="黑体" w:eastAsia="黑体"/>
                <w:bCs/>
                <w:kern w:val="0"/>
                <w:sz w:val="21"/>
                <w:szCs w:val="21"/>
              </w:rPr>
            </w:pPr>
            <w:r>
              <w:rPr>
                <w:rFonts w:ascii="黑体" w:hAnsi="黑体" w:eastAsia="黑体"/>
                <w:bCs/>
                <w:kern w:val="0"/>
                <w:sz w:val="21"/>
                <w:szCs w:val="21"/>
              </w:rPr>
              <w:t>序号</w:t>
            </w:r>
          </w:p>
        </w:tc>
        <w:tc>
          <w:tcPr>
            <w:tcW w:w="421" w:type="pct"/>
            <w:noWrap w:val="0"/>
            <w:vAlign w:val="center"/>
          </w:tcPr>
          <w:p>
            <w:pPr>
              <w:jc w:val="center"/>
              <w:rPr>
                <w:rFonts w:ascii="黑体" w:hAnsi="黑体" w:eastAsia="黑体"/>
                <w:bCs/>
                <w:kern w:val="0"/>
                <w:sz w:val="21"/>
                <w:szCs w:val="21"/>
              </w:rPr>
            </w:pPr>
            <w:r>
              <w:rPr>
                <w:rFonts w:ascii="黑体" w:hAnsi="黑体" w:eastAsia="黑体"/>
                <w:bCs/>
                <w:kern w:val="0"/>
                <w:sz w:val="21"/>
                <w:szCs w:val="21"/>
              </w:rPr>
              <w:t>枢纽层级</w:t>
            </w:r>
          </w:p>
        </w:tc>
        <w:tc>
          <w:tcPr>
            <w:tcW w:w="1096" w:type="pct"/>
            <w:noWrap w:val="0"/>
            <w:vAlign w:val="center"/>
          </w:tcPr>
          <w:p>
            <w:pPr>
              <w:widowControl/>
              <w:jc w:val="center"/>
              <w:rPr>
                <w:rFonts w:ascii="黑体" w:hAnsi="黑体" w:eastAsia="黑体"/>
                <w:bCs/>
                <w:kern w:val="0"/>
                <w:sz w:val="21"/>
                <w:szCs w:val="21"/>
              </w:rPr>
            </w:pPr>
            <w:r>
              <w:rPr>
                <w:rFonts w:ascii="黑体" w:hAnsi="黑体" w:eastAsia="黑体"/>
                <w:bCs/>
                <w:kern w:val="0"/>
                <w:sz w:val="21"/>
                <w:szCs w:val="21"/>
              </w:rPr>
              <w:t>枢纽名称</w:t>
            </w:r>
          </w:p>
        </w:tc>
        <w:tc>
          <w:tcPr>
            <w:tcW w:w="578" w:type="pct"/>
            <w:noWrap w:val="0"/>
            <w:vAlign w:val="center"/>
          </w:tcPr>
          <w:p>
            <w:pPr>
              <w:widowControl/>
              <w:jc w:val="center"/>
              <w:rPr>
                <w:rFonts w:ascii="黑体" w:hAnsi="黑体" w:eastAsia="黑体"/>
                <w:bCs/>
                <w:kern w:val="0"/>
                <w:sz w:val="21"/>
                <w:szCs w:val="21"/>
              </w:rPr>
            </w:pPr>
            <w:r>
              <w:rPr>
                <w:rFonts w:ascii="黑体" w:hAnsi="黑体" w:eastAsia="黑体"/>
                <w:bCs/>
                <w:kern w:val="0"/>
                <w:sz w:val="21"/>
                <w:szCs w:val="21"/>
              </w:rPr>
              <w:t>联运类型</w:t>
            </w:r>
          </w:p>
        </w:tc>
        <w:tc>
          <w:tcPr>
            <w:tcW w:w="838" w:type="pct"/>
            <w:noWrap w:val="0"/>
            <w:vAlign w:val="center"/>
          </w:tcPr>
          <w:p>
            <w:pPr>
              <w:widowControl/>
              <w:jc w:val="center"/>
              <w:rPr>
                <w:rFonts w:ascii="黑体" w:hAnsi="黑体" w:eastAsia="黑体"/>
                <w:bCs/>
                <w:kern w:val="0"/>
                <w:sz w:val="21"/>
                <w:szCs w:val="21"/>
              </w:rPr>
            </w:pPr>
            <w:r>
              <w:rPr>
                <w:rFonts w:ascii="黑体" w:hAnsi="黑体" w:eastAsia="黑体"/>
                <w:bCs/>
                <w:kern w:val="0"/>
                <w:sz w:val="21"/>
                <w:szCs w:val="21"/>
              </w:rPr>
              <w:t>建设项目名称</w:t>
            </w:r>
          </w:p>
        </w:tc>
        <w:tc>
          <w:tcPr>
            <w:tcW w:w="475" w:type="pct"/>
            <w:noWrap w:val="0"/>
            <w:vAlign w:val="center"/>
          </w:tcPr>
          <w:p>
            <w:pPr>
              <w:widowControl/>
              <w:jc w:val="center"/>
              <w:rPr>
                <w:rFonts w:ascii="黑体" w:hAnsi="黑体" w:eastAsia="黑体"/>
                <w:bCs/>
                <w:kern w:val="0"/>
                <w:sz w:val="21"/>
                <w:szCs w:val="21"/>
              </w:rPr>
            </w:pPr>
            <w:r>
              <w:rPr>
                <w:rFonts w:ascii="黑体" w:hAnsi="黑体" w:eastAsia="黑体"/>
                <w:bCs/>
                <w:kern w:val="0"/>
                <w:sz w:val="21"/>
                <w:szCs w:val="21"/>
              </w:rPr>
              <w:t>总投资</w:t>
            </w:r>
          </w:p>
          <w:p>
            <w:pPr>
              <w:widowControl/>
              <w:jc w:val="center"/>
              <w:rPr>
                <w:rFonts w:ascii="黑体" w:hAnsi="黑体" w:eastAsia="黑体"/>
                <w:bCs/>
                <w:kern w:val="0"/>
                <w:sz w:val="21"/>
                <w:szCs w:val="21"/>
              </w:rPr>
            </w:pPr>
            <w:r>
              <w:rPr>
                <w:rFonts w:ascii="黑体" w:hAnsi="黑体" w:eastAsia="黑体"/>
                <w:bCs/>
                <w:kern w:val="0"/>
                <w:sz w:val="21"/>
                <w:szCs w:val="21"/>
              </w:rPr>
              <w:t>（亿元）</w:t>
            </w:r>
          </w:p>
        </w:tc>
        <w:tc>
          <w:tcPr>
            <w:tcW w:w="629" w:type="pct"/>
            <w:noWrap w:val="0"/>
            <w:vAlign w:val="center"/>
          </w:tcPr>
          <w:p>
            <w:pPr>
              <w:widowControl/>
              <w:jc w:val="center"/>
              <w:rPr>
                <w:rFonts w:ascii="黑体" w:hAnsi="黑体" w:eastAsia="黑体"/>
                <w:bCs/>
                <w:kern w:val="0"/>
                <w:sz w:val="21"/>
                <w:szCs w:val="21"/>
              </w:rPr>
            </w:pPr>
            <w:r>
              <w:rPr>
                <w:rFonts w:ascii="黑体" w:hAnsi="黑体" w:eastAsia="黑体"/>
                <w:bCs/>
                <w:kern w:val="0"/>
                <w:sz w:val="21"/>
                <w:szCs w:val="21"/>
              </w:rPr>
              <w:t>“十四五”投资</w:t>
            </w:r>
          </w:p>
          <w:p>
            <w:pPr>
              <w:widowControl/>
              <w:jc w:val="center"/>
              <w:rPr>
                <w:rFonts w:ascii="黑体" w:hAnsi="黑体" w:eastAsia="黑体"/>
                <w:bCs/>
                <w:kern w:val="0"/>
                <w:sz w:val="21"/>
                <w:szCs w:val="21"/>
              </w:rPr>
            </w:pPr>
            <w:r>
              <w:rPr>
                <w:rFonts w:ascii="黑体" w:hAnsi="黑体" w:eastAsia="黑体"/>
                <w:bCs/>
                <w:kern w:val="0"/>
                <w:sz w:val="21"/>
                <w:szCs w:val="21"/>
              </w:rPr>
              <w:t>（亿元）</w:t>
            </w:r>
          </w:p>
        </w:tc>
        <w:tc>
          <w:tcPr>
            <w:tcW w:w="425" w:type="pct"/>
            <w:noWrap w:val="0"/>
            <w:vAlign w:val="center"/>
          </w:tcPr>
          <w:p>
            <w:pPr>
              <w:widowControl/>
              <w:jc w:val="center"/>
              <w:rPr>
                <w:rFonts w:ascii="黑体" w:hAnsi="黑体" w:eastAsia="黑体"/>
                <w:bCs/>
                <w:kern w:val="0"/>
                <w:sz w:val="21"/>
                <w:szCs w:val="21"/>
              </w:rPr>
            </w:pPr>
            <w:r>
              <w:rPr>
                <w:rFonts w:ascii="黑体" w:hAnsi="黑体" w:eastAsia="黑体"/>
                <w:bCs/>
                <w:kern w:val="0"/>
                <w:sz w:val="21"/>
                <w:szCs w:val="21"/>
              </w:rPr>
              <w:t>总用地</w:t>
            </w:r>
          </w:p>
          <w:p>
            <w:pPr>
              <w:widowControl/>
              <w:jc w:val="center"/>
              <w:rPr>
                <w:rFonts w:ascii="黑体" w:hAnsi="黑体" w:eastAsia="黑体"/>
                <w:bCs/>
                <w:kern w:val="0"/>
                <w:sz w:val="21"/>
                <w:szCs w:val="21"/>
              </w:rPr>
            </w:pPr>
            <w:r>
              <w:rPr>
                <w:rFonts w:ascii="黑体" w:hAnsi="黑体" w:eastAsia="黑体"/>
                <w:bCs/>
                <w:kern w:val="0"/>
                <w:sz w:val="21"/>
                <w:szCs w:val="21"/>
              </w:rPr>
              <w:t>（公顷）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269" w:type="pct"/>
            <w:noWrap w:val="0"/>
            <w:vAlign w:val="center"/>
          </w:tcPr>
          <w:p>
            <w:pPr>
              <w:widowControl/>
              <w:jc w:val="center"/>
              <w:rPr>
                <w:color w:val="000000"/>
                <w:kern w:val="0"/>
                <w:sz w:val="21"/>
                <w:szCs w:val="21"/>
              </w:rPr>
            </w:pPr>
          </w:p>
        </w:tc>
        <w:tc>
          <w:tcPr>
            <w:tcW w:w="269" w:type="pct"/>
            <w:noWrap w:val="0"/>
            <w:vAlign w:val="center"/>
          </w:tcPr>
          <w:p>
            <w:pPr>
              <w:widowControl/>
              <w:jc w:val="center"/>
              <w:rPr>
                <w:color w:val="000000"/>
                <w:kern w:val="0"/>
                <w:sz w:val="21"/>
                <w:szCs w:val="21"/>
              </w:rPr>
            </w:pPr>
          </w:p>
        </w:tc>
        <w:tc>
          <w:tcPr>
            <w:tcW w:w="421" w:type="pct"/>
            <w:noWrap w:val="0"/>
            <w:vAlign w:val="center"/>
          </w:tcPr>
          <w:p>
            <w:pPr>
              <w:widowControl/>
              <w:jc w:val="center"/>
              <w:rPr>
                <w:color w:val="000000"/>
                <w:kern w:val="0"/>
                <w:sz w:val="21"/>
                <w:szCs w:val="21"/>
              </w:rPr>
            </w:pPr>
          </w:p>
        </w:tc>
        <w:tc>
          <w:tcPr>
            <w:tcW w:w="1096" w:type="pct"/>
            <w:noWrap w:val="0"/>
            <w:vAlign w:val="center"/>
          </w:tcPr>
          <w:p>
            <w:pPr>
              <w:widowControl/>
              <w:jc w:val="center"/>
              <w:rPr>
                <w:rFonts w:hint="eastAsia" w:ascii="楷体_GB2312" w:hAnsi="黑体" w:eastAsia="楷体_GB2312"/>
                <w:bCs/>
                <w:kern w:val="0"/>
                <w:sz w:val="21"/>
                <w:szCs w:val="21"/>
              </w:rPr>
            </w:pPr>
            <w:r>
              <w:rPr>
                <w:rFonts w:hint="eastAsia" w:ascii="楷体_GB2312" w:hAnsi="黑体" w:eastAsia="楷体_GB2312"/>
                <w:bCs/>
                <w:kern w:val="0"/>
                <w:sz w:val="21"/>
                <w:szCs w:val="21"/>
              </w:rPr>
              <w:t>合计</w:t>
            </w:r>
          </w:p>
        </w:tc>
        <w:tc>
          <w:tcPr>
            <w:tcW w:w="578" w:type="pct"/>
            <w:noWrap w:val="0"/>
            <w:vAlign w:val="center"/>
          </w:tcPr>
          <w:p>
            <w:pPr>
              <w:widowControl/>
              <w:jc w:val="center"/>
              <w:rPr>
                <w:rFonts w:hint="eastAsia" w:ascii="楷体_GB2312" w:hAnsi="黑体" w:eastAsia="楷体_GB2312"/>
                <w:bCs/>
                <w:kern w:val="0"/>
                <w:sz w:val="21"/>
                <w:szCs w:val="21"/>
              </w:rPr>
            </w:pPr>
          </w:p>
        </w:tc>
        <w:tc>
          <w:tcPr>
            <w:tcW w:w="838" w:type="pct"/>
            <w:noWrap w:val="0"/>
            <w:vAlign w:val="center"/>
          </w:tcPr>
          <w:p>
            <w:pPr>
              <w:widowControl/>
              <w:jc w:val="center"/>
              <w:rPr>
                <w:rFonts w:hint="eastAsia" w:ascii="楷体_GB2312" w:hAnsi="黑体" w:eastAsia="楷体_GB2312"/>
                <w:bCs/>
                <w:kern w:val="0"/>
                <w:sz w:val="21"/>
                <w:szCs w:val="21"/>
              </w:rPr>
            </w:pPr>
          </w:p>
        </w:tc>
        <w:tc>
          <w:tcPr>
            <w:tcW w:w="475" w:type="pct"/>
            <w:noWrap w:val="0"/>
            <w:vAlign w:val="center"/>
          </w:tcPr>
          <w:p>
            <w:pPr>
              <w:widowControl/>
              <w:jc w:val="center"/>
              <w:rPr>
                <w:rFonts w:hint="eastAsia" w:ascii="楷体_GB2312" w:hAnsi="黑体" w:eastAsia="楷体_GB2312"/>
                <w:bCs/>
                <w:kern w:val="0"/>
                <w:sz w:val="21"/>
                <w:szCs w:val="21"/>
              </w:rPr>
            </w:pPr>
            <w:r>
              <w:rPr>
                <w:rFonts w:hint="eastAsia" w:ascii="楷体_GB2312" w:hAnsi="黑体" w:eastAsia="楷体_GB2312"/>
                <w:bCs/>
                <w:kern w:val="0"/>
                <w:sz w:val="21"/>
                <w:szCs w:val="21"/>
              </w:rPr>
              <w:t>1134</w:t>
            </w:r>
          </w:p>
        </w:tc>
        <w:tc>
          <w:tcPr>
            <w:tcW w:w="629" w:type="pct"/>
            <w:noWrap w:val="0"/>
            <w:vAlign w:val="center"/>
          </w:tcPr>
          <w:p>
            <w:pPr>
              <w:widowControl/>
              <w:jc w:val="center"/>
              <w:rPr>
                <w:rFonts w:hint="eastAsia" w:ascii="楷体_GB2312" w:hAnsi="黑体" w:eastAsia="楷体_GB2312"/>
                <w:bCs/>
                <w:kern w:val="0"/>
                <w:sz w:val="21"/>
                <w:szCs w:val="21"/>
              </w:rPr>
            </w:pPr>
            <w:r>
              <w:rPr>
                <w:rFonts w:hint="eastAsia" w:ascii="楷体_GB2312" w:hAnsi="黑体" w:eastAsia="楷体_GB2312"/>
                <w:bCs/>
                <w:kern w:val="0"/>
                <w:sz w:val="21"/>
                <w:szCs w:val="21"/>
              </w:rPr>
              <w:t>767</w:t>
            </w:r>
          </w:p>
        </w:tc>
        <w:tc>
          <w:tcPr>
            <w:tcW w:w="425" w:type="pct"/>
            <w:noWrap w:val="0"/>
            <w:vAlign w:val="center"/>
          </w:tcPr>
          <w:p>
            <w:pPr>
              <w:widowControl/>
              <w:jc w:val="center"/>
              <w:rPr>
                <w:rFonts w:hint="eastAsia" w:ascii="楷体_GB2312" w:hAnsi="黑体" w:eastAsia="楷体_GB2312"/>
                <w:bCs/>
                <w:kern w:val="0"/>
                <w:sz w:val="21"/>
                <w:szCs w:val="21"/>
              </w:rPr>
            </w:pPr>
            <w:r>
              <w:rPr>
                <w:rFonts w:hint="eastAsia" w:ascii="楷体_GB2312" w:hAnsi="黑体" w:eastAsia="楷体_GB2312"/>
                <w:bCs/>
                <w:kern w:val="0"/>
                <w:sz w:val="21"/>
                <w:szCs w:val="21"/>
              </w:rPr>
              <w:t>6394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杭州</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w:t>
            </w:r>
          </w:p>
        </w:tc>
        <w:tc>
          <w:tcPr>
            <w:tcW w:w="421"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门户型</w:t>
            </w:r>
          </w:p>
        </w:tc>
        <w:tc>
          <w:tcPr>
            <w:tcW w:w="1096"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杭州传化公路港临江综合物流产业园区（杭州江东物流园区)</w:t>
            </w:r>
          </w:p>
        </w:tc>
        <w:tc>
          <w:tcPr>
            <w:tcW w:w="578"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杭州传化公路港临江综合物流产业园项目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w:t>
            </w:r>
          </w:p>
        </w:tc>
        <w:tc>
          <w:tcPr>
            <w:tcW w:w="421" w:type="pct"/>
            <w:vMerge w:val="continue"/>
            <w:noWrap w:val="0"/>
            <w:vAlign w:val="center"/>
          </w:tcPr>
          <w:p>
            <w:pPr>
              <w:widowControl/>
              <w:jc w:val="left"/>
              <w:rPr>
                <w:rFonts w:hint="eastAsia" w:ascii="仿宋_GB2312"/>
                <w:color w:val="000000"/>
                <w:kern w:val="0"/>
                <w:sz w:val="21"/>
                <w:szCs w:val="21"/>
              </w:rPr>
            </w:pPr>
          </w:p>
        </w:tc>
        <w:tc>
          <w:tcPr>
            <w:tcW w:w="1096" w:type="pct"/>
            <w:vMerge w:val="continue"/>
            <w:noWrap w:val="0"/>
            <w:vAlign w:val="center"/>
          </w:tcPr>
          <w:p>
            <w:pPr>
              <w:widowControl/>
              <w:jc w:val="left"/>
              <w:rPr>
                <w:rFonts w:hint="eastAsia" w:ascii="仿宋_GB2312"/>
                <w:color w:val="000000"/>
                <w:kern w:val="0"/>
                <w:sz w:val="21"/>
                <w:szCs w:val="21"/>
              </w:rPr>
            </w:pPr>
          </w:p>
        </w:tc>
        <w:tc>
          <w:tcPr>
            <w:tcW w:w="578" w:type="pct"/>
            <w:vMerge w:val="continue"/>
            <w:noWrap w:val="0"/>
            <w:vAlign w:val="center"/>
          </w:tcPr>
          <w:p>
            <w:pPr>
              <w:widowControl/>
              <w:jc w:val="left"/>
              <w:rPr>
                <w:rFonts w:hint="eastAsia" w:ascii="仿宋_GB2312"/>
                <w:color w:val="000000"/>
                <w:kern w:val="0"/>
                <w:sz w:val="21"/>
                <w:szCs w:val="21"/>
              </w:rPr>
            </w:pP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杭州交联物流有限公司前进物流中心项目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5.3</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1.3</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w:t>
            </w:r>
          </w:p>
        </w:tc>
        <w:tc>
          <w:tcPr>
            <w:tcW w:w="421" w:type="pct"/>
            <w:vMerge w:val="continue"/>
            <w:noWrap w:val="0"/>
            <w:vAlign w:val="center"/>
          </w:tcPr>
          <w:p>
            <w:pPr>
              <w:widowControl/>
              <w:jc w:val="left"/>
              <w:rPr>
                <w:rFonts w:hint="eastAsia" w:ascii="仿宋_GB2312"/>
                <w:color w:val="000000"/>
                <w:kern w:val="0"/>
                <w:sz w:val="21"/>
                <w:szCs w:val="21"/>
              </w:rPr>
            </w:pPr>
          </w:p>
        </w:tc>
        <w:tc>
          <w:tcPr>
            <w:tcW w:w="1096" w:type="pct"/>
            <w:vMerge w:val="continue"/>
            <w:noWrap w:val="0"/>
            <w:vAlign w:val="center"/>
          </w:tcPr>
          <w:p>
            <w:pPr>
              <w:widowControl/>
              <w:jc w:val="left"/>
              <w:rPr>
                <w:rFonts w:hint="eastAsia" w:ascii="仿宋_GB2312"/>
                <w:color w:val="000000"/>
                <w:kern w:val="0"/>
                <w:sz w:val="21"/>
                <w:szCs w:val="21"/>
              </w:rPr>
            </w:pPr>
          </w:p>
        </w:tc>
        <w:tc>
          <w:tcPr>
            <w:tcW w:w="578" w:type="pct"/>
            <w:vMerge w:val="continue"/>
            <w:noWrap w:val="0"/>
            <w:vAlign w:val="center"/>
          </w:tcPr>
          <w:p>
            <w:pPr>
              <w:widowControl/>
              <w:jc w:val="left"/>
              <w:rPr>
                <w:rFonts w:hint="eastAsia" w:ascii="仿宋_GB2312"/>
                <w:color w:val="000000"/>
                <w:kern w:val="0"/>
                <w:sz w:val="21"/>
                <w:szCs w:val="21"/>
              </w:rPr>
            </w:pP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杭州大湾区智能制造供应链一体化公共服务平台</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4.3</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2.8</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w:t>
            </w:r>
          </w:p>
        </w:tc>
        <w:tc>
          <w:tcPr>
            <w:tcW w:w="421" w:type="pct"/>
            <w:noWrap w:val="0"/>
            <w:vAlign w:val="center"/>
          </w:tcPr>
          <w:p>
            <w:pPr>
              <w:widowControl/>
              <w:rPr>
                <w:rFonts w:hint="eastAsia" w:ascii="仿宋_GB2312"/>
                <w:color w:val="000000"/>
                <w:kern w:val="0"/>
                <w:sz w:val="21"/>
                <w:szCs w:val="21"/>
              </w:rPr>
            </w:pPr>
            <w:r>
              <w:rPr>
                <w:rFonts w:hint="eastAsia" w:ascii="仿宋_GB2312"/>
                <w:color w:val="000000"/>
                <w:kern w:val="0"/>
                <w:sz w:val="21"/>
                <w:szCs w:val="21"/>
              </w:rPr>
              <w:t>门户型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中国（杭州）跨境电子商务综合试验区（空港片物流园区）</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公空联运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杭州空港现代智慧物流产业园</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浙江杭州青山湖科技城国际物流中心</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公路运输</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浙江杭州青山湖科技城国际物流中心</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6.3</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1.2</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6</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下沙物流园区</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下沙物流园区</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20</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20</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杭州萧山国际机场改扩建（国际货站及机坪）工程</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公空联运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杭州萧山国际机场改扩建（国际货站及机坪）工程项目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24</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24</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宁波</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8</w:t>
            </w:r>
          </w:p>
        </w:tc>
        <w:tc>
          <w:tcPr>
            <w:tcW w:w="421"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门户型</w:t>
            </w:r>
          </w:p>
        </w:tc>
        <w:tc>
          <w:tcPr>
            <w:tcW w:w="1096"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宁波梅山物流产业集聚区</w:t>
            </w:r>
          </w:p>
        </w:tc>
        <w:tc>
          <w:tcPr>
            <w:tcW w:w="578"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宁波梅山国际冷链供应链平台项目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25.89</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25.89</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9</w:t>
            </w:r>
          </w:p>
        </w:tc>
        <w:tc>
          <w:tcPr>
            <w:tcW w:w="421" w:type="pct"/>
            <w:vMerge w:val="continue"/>
            <w:noWrap w:val="0"/>
            <w:vAlign w:val="center"/>
          </w:tcPr>
          <w:p>
            <w:pPr>
              <w:widowControl/>
              <w:jc w:val="left"/>
              <w:rPr>
                <w:rFonts w:hint="eastAsia" w:ascii="仿宋_GB2312"/>
                <w:color w:val="000000"/>
                <w:kern w:val="0"/>
                <w:sz w:val="21"/>
                <w:szCs w:val="21"/>
              </w:rPr>
            </w:pPr>
          </w:p>
        </w:tc>
        <w:tc>
          <w:tcPr>
            <w:tcW w:w="1096" w:type="pct"/>
            <w:vMerge w:val="continue"/>
            <w:noWrap w:val="0"/>
            <w:vAlign w:val="center"/>
          </w:tcPr>
          <w:p>
            <w:pPr>
              <w:widowControl/>
              <w:jc w:val="left"/>
              <w:rPr>
                <w:rFonts w:hint="eastAsia" w:ascii="仿宋_GB2312"/>
                <w:color w:val="000000"/>
                <w:kern w:val="0"/>
                <w:sz w:val="21"/>
                <w:szCs w:val="21"/>
              </w:rPr>
            </w:pPr>
          </w:p>
        </w:tc>
        <w:tc>
          <w:tcPr>
            <w:tcW w:w="578" w:type="pct"/>
            <w:vMerge w:val="continue"/>
            <w:noWrap w:val="0"/>
            <w:vAlign w:val="center"/>
          </w:tcPr>
          <w:p>
            <w:pPr>
              <w:widowControl/>
              <w:jc w:val="left"/>
              <w:rPr>
                <w:rFonts w:hint="eastAsia" w:ascii="仿宋_GB2312"/>
                <w:color w:val="000000"/>
                <w:kern w:val="0"/>
                <w:sz w:val="21"/>
                <w:szCs w:val="21"/>
              </w:rPr>
            </w:pP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中国商业联合会进出口商品采购集散中心暨中商 （宁波）咸菜服务业产业园</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9.2</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6</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w:t>
            </w:r>
          </w:p>
        </w:tc>
        <w:tc>
          <w:tcPr>
            <w:tcW w:w="421" w:type="pct"/>
            <w:vMerge w:val="restart"/>
            <w:noWrap w:val="0"/>
            <w:vAlign w:val="center"/>
          </w:tcPr>
          <w:p>
            <w:pPr>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vMerge w:val="restart"/>
            <w:noWrap w:val="0"/>
            <w:vAlign w:val="center"/>
          </w:tcPr>
          <w:p>
            <w:pPr>
              <w:jc w:val="center"/>
              <w:rPr>
                <w:rFonts w:hint="eastAsia" w:ascii="仿宋_GB2312"/>
                <w:color w:val="000000"/>
                <w:kern w:val="0"/>
                <w:sz w:val="21"/>
                <w:szCs w:val="21"/>
              </w:rPr>
            </w:pPr>
            <w:r>
              <w:rPr>
                <w:rFonts w:hint="eastAsia" w:ascii="仿宋_GB2312"/>
                <w:color w:val="000000"/>
                <w:kern w:val="0"/>
                <w:sz w:val="21"/>
                <w:szCs w:val="21"/>
              </w:rPr>
              <w:t>宁南贸易物流区</w:t>
            </w:r>
          </w:p>
        </w:tc>
        <w:tc>
          <w:tcPr>
            <w:tcW w:w="578" w:type="pct"/>
            <w:vMerge w:val="restart"/>
            <w:noWrap w:val="0"/>
            <w:vAlign w:val="center"/>
          </w:tcPr>
          <w:p>
            <w:pPr>
              <w:jc w:val="center"/>
              <w:rPr>
                <w:rFonts w:hint="eastAsia" w:ascii="仿宋_GB2312"/>
                <w:color w:val="000000"/>
                <w:kern w:val="0"/>
                <w:sz w:val="21"/>
                <w:szCs w:val="21"/>
              </w:rPr>
            </w:pPr>
            <w:r>
              <w:rPr>
                <w:rFonts w:hint="eastAsia" w:ascii="仿宋_GB2312"/>
                <w:color w:val="000000"/>
                <w:kern w:val="0"/>
                <w:sz w:val="21"/>
                <w:szCs w:val="21"/>
              </w:rPr>
              <w:t>公水空联运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宁波宝湾国际物流中心项目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6.5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5.75</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vMerge w:val="continue"/>
            <w:noWrap w:val="0"/>
            <w:vAlign w:val="center"/>
          </w:tcPr>
          <w:p>
            <w:pPr>
              <w:widowControl/>
              <w:jc w:val="left"/>
              <w:rPr>
                <w:rFonts w:hint="eastAsia" w:ascii="仿宋_GB2312"/>
                <w:color w:val="000000"/>
                <w:kern w:val="0"/>
                <w:sz w:val="21"/>
                <w:szCs w:val="21"/>
              </w:rPr>
            </w:pPr>
          </w:p>
        </w:tc>
        <w:tc>
          <w:tcPr>
            <w:tcW w:w="421" w:type="pct"/>
            <w:vMerge w:val="continue"/>
            <w:noWrap w:val="0"/>
            <w:vAlign w:val="center"/>
          </w:tcPr>
          <w:p>
            <w:pPr>
              <w:widowControl/>
              <w:jc w:val="left"/>
              <w:rPr>
                <w:rFonts w:hint="eastAsia" w:ascii="仿宋_GB2312"/>
                <w:color w:val="000000"/>
                <w:kern w:val="0"/>
                <w:sz w:val="21"/>
                <w:szCs w:val="21"/>
              </w:rPr>
            </w:pPr>
          </w:p>
        </w:tc>
        <w:tc>
          <w:tcPr>
            <w:tcW w:w="1096" w:type="pct"/>
            <w:vMerge w:val="continue"/>
            <w:noWrap w:val="0"/>
            <w:vAlign w:val="center"/>
          </w:tcPr>
          <w:p>
            <w:pPr>
              <w:widowControl/>
              <w:jc w:val="left"/>
              <w:rPr>
                <w:rFonts w:hint="eastAsia" w:ascii="仿宋_GB2312"/>
                <w:color w:val="000000"/>
                <w:kern w:val="0"/>
                <w:sz w:val="21"/>
                <w:szCs w:val="21"/>
              </w:rPr>
            </w:pPr>
          </w:p>
        </w:tc>
        <w:tc>
          <w:tcPr>
            <w:tcW w:w="578" w:type="pct"/>
            <w:vMerge w:val="continue"/>
            <w:noWrap w:val="0"/>
            <w:vAlign w:val="center"/>
          </w:tcPr>
          <w:p>
            <w:pPr>
              <w:widowControl/>
              <w:jc w:val="left"/>
              <w:rPr>
                <w:rFonts w:hint="eastAsia" w:ascii="仿宋_GB2312"/>
                <w:color w:val="000000"/>
                <w:kern w:val="0"/>
                <w:sz w:val="21"/>
                <w:szCs w:val="21"/>
              </w:rPr>
            </w:pP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宁波农副产品物流中心项目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22</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12.7</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11</w:t>
            </w:r>
          </w:p>
        </w:tc>
        <w:tc>
          <w:tcPr>
            <w:tcW w:w="421"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镇海临港综合物流枢纽</w:t>
            </w:r>
          </w:p>
        </w:tc>
        <w:tc>
          <w:tcPr>
            <w:tcW w:w="578"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宁波镇海宝湾国际物流仓储项目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5.75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5.75</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vMerge w:val="continue"/>
            <w:noWrap w:val="0"/>
            <w:vAlign w:val="center"/>
          </w:tcPr>
          <w:p>
            <w:pPr>
              <w:widowControl/>
              <w:jc w:val="left"/>
              <w:rPr>
                <w:rFonts w:hint="eastAsia" w:ascii="仿宋_GB2312"/>
                <w:color w:val="000000"/>
                <w:kern w:val="0"/>
                <w:sz w:val="21"/>
                <w:szCs w:val="21"/>
              </w:rPr>
            </w:pPr>
          </w:p>
        </w:tc>
        <w:tc>
          <w:tcPr>
            <w:tcW w:w="421" w:type="pct"/>
            <w:vMerge w:val="continue"/>
            <w:noWrap w:val="0"/>
            <w:vAlign w:val="center"/>
          </w:tcPr>
          <w:p>
            <w:pPr>
              <w:widowControl/>
              <w:jc w:val="left"/>
              <w:rPr>
                <w:rFonts w:hint="eastAsia" w:ascii="仿宋_GB2312"/>
                <w:color w:val="000000"/>
                <w:kern w:val="0"/>
                <w:sz w:val="21"/>
                <w:szCs w:val="21"/>
              </w:rPr>
            </w:pPr>
          </w:p>
        </w:tc>
        <w:tc>
          <w:tcPr>
            <w:tcW w:w="1096" w:type="pct"/>
            <w:vMerge w:val="continue"/>
            <w:noWrap w:val="0"/>
            <w:vAlign w:val="center"/>
          </w:tcPr>
          <w:p>
            <w:pPr>
              <w:widowControl/>
              <w:jc w:val="left"/>
              <w:rPr>
                <w:rFonts w:hint="eastAsia" w:ascii="仿宋_GB2312"/>
                <w:color w:val="000000"/>
                <w:kern w:val="0"/>
                <w:sz w:val="21"/>
                <w:szCs w:val="21"/>
              </w:rPr>
            </w:pPr>
          </w:p>
        </w:tc>
        <w:tc>
          <w:tcPr>
            <w:tcW w:w="578" w:type="pct"/>
            <w:vMerge w:val="continue"/>
            <w:noWrap w:val="0"/>
            <w:vAlign w:val="center"/>
          </w:tcPr>
          <w:p>
            <w:pPr>
              <w:widowControl/>
              <w:jc w:val="left"/>
              <w:rPr>
                <w:rFonts w:hint="eastAsia" w:ascii="仿宋_GB2312"/>
                <w:color w:val="000000"/>
                <w:kern w:val="0"/>
                <w:sz w:val="21"/>
                <w:szCs w:val="21"/>
              </w:rPr>
            </w:pP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传化供应链中心项目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8</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8</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12</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北仑临港智慧物流园区</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宁波舟山港穿山港区配套停车场及物流服务中心</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7.7</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7.7</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13</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宁波陆港物流园区</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余姚东港区货运枢纽</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30</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20</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温州</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14</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门户型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温州航空物流园</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公空联运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温州航空物流园</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50</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52</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182.27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15</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温州西铁路货运站场迁建工程</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温州西铁路货运站场迁建工程</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16</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0.5</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16</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温州鹿城西部综合物流基地（多式联运中心）</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温州鹿城西部综合物流基地（多式联运中心）</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0.5</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17</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江南物流园区</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京东瑞安智能供应链产业项目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31</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29</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金华（义乌））</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18</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门户型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华东联运新城</w:t>
            </w:r>
            <w:r>
              <w:rPr>
                <w:rFonts w:hint="eastAsia" w:ascii="仿宋_GB2312"/>
                <w:color w:val="000000"/>
                <w:kern w:val="0"/>
                <w:sz w:val="21"/>
                <w:szCs w:val="21"/>
              </w:rPr>
              <w:br w:type="textWrapping"/>
            </w:r>
            <w:r>
              <w:rPr>
                <w:rFonts w:hint="eastAsia" w:ascii="仿宋_GB2312"/>
                <w:color w:val="000000"/>
                <w:kern w:val="0"/>
                <w:sz w:val="21"/>
                <w:szCs w:val="21"/>
              </w:rPr>
              <w:t>（浙中多式联运枢纽港）</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浙中公铁联运港南站区块一期工程</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15.5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12.31</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19</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中国五金产业物流港</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永康多式联运中心一期工程</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5.6</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5.6</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20</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义乌西铁路货场扩建工程</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西铁路货场扩建工程二期</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8</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8</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21</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武义公铁综合物流园</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武义公铁综合物流园一期</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22</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兰溪港铁公水多式联运枢纽</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兰溪港区女埠综合作业区（物流园）</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7.85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23</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华东（金华）农产品物流中心</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公路运输</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华东（金华）农产品物流中心建设项目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绍兴</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24</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中国轻纺国际物流仓储中心</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轻纺数字物流港</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4.8</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4.8</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金甬铁路新昌客货站</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金甬铁路新昌客货站</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1.1</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1.1</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26</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金甬铁路长乐货站（客站预留）</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金甬铁路长乐货站（客站预留）</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27</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诸暨公铁水联运中心</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现代物流中心园区</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28</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店口物流园区</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店口物流园区</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湖州</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29</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湖州公铁水综合物流园区</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湖州铁公水综合物流园多式联运型枢纽项目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115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62.35</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30</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安吉数字物流港</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安吉数字物流港</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25.3</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25.3</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31</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南浔经济开发区综合物流园区</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南浔经济开发区综合物流园区项目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14.9</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32</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中国物流（安吉）现代物流园</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中国物流（安吉）现代物流园</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9.5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6</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嘉兴</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33</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嘉兴机场物流枢纽</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公铁水空联运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嘉兴机场物流枢纽</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122</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122</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96.96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5"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34</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海盐智慧海港基地</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海盐智慧海港基地</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12</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12</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35</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嘉兴海河联运示范区海盐枢纽工程</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海盐综合物流基地</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15</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5"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36</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嘉兴港区综合物流园</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嘉兴港区六里桥海河联运项目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37</w:t>
            </w:r>
          </w:p>
        </w:tc>
        <w:tc>
          <w:tcPr>
            <w:tcW w:w="421"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平湖独山港综合物流园区</w:t>
            </w:r>
          </w:p>
        </w:tc>
        <w:tc>
          <w:tcPr>
            <w:tcW w:w="578"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平湖独山港综合物流园区</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100</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50</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38</w:t>
            </w:r>
          </w:p>
        </w:tc>
        <w:tc>
          <w:tcPr>
            <w:tcW w:w="421" w:type="pct"/>
            <w:vMerge w:val="continue"/>
            <w:noWrap w:val="0"/>
            <w:vAlign w:val="center"/>
          </w:tcPr>
          <w:p>
            <w:pPr>
              <w:widowControl/>
              <w:jc w:val="left"/>
              <w:rPr>
                <w:rFonts w:hint="eastAsia" w:ascii="仿宋_GB2312"/>
                <w:color w:val="000000"/>
                <w:kern w:val="0"/>
                <w:sz w:val="21"/>
                <w:szCs w:val="21"/>
              </w:rPr>
            </w:pPr>
          </w:p>
        </w:tc>
        <w:tc>
          <w:tcPr>
            <w:tcW w:w="1096" w:type="pct"/>
            <w:vMerge w:val="continue"/>
            <w:noWrap w:val="0"/>
            <w:vAlign w:val="center"/>
          </w:tcPr>
          <w:p>
            <w:pPr>
              <w:widowControl/>
              <w:jc w:val="left"/>
              <w:rPr>
                <w:rFonts w:hint="eastAsia" w:ascii="仿宋_GB2312"/>
                <w:color w:val="000000"/>
                <w:kern w:val="0"/>
                <w:sz w:val="21"/>
                <w:szCs w:val="21"/>
              </w:rPr>
            </w:pPr>
          </w:p>
        </w:tc>
        <w:tc>
          <w:tcPr>
            <w:tcW w:w="578" w:type="pct"/>
            <w:vMerge w:val="continue"/>
            <w:noWrap w:val="0"/>
            <w:vAlign w:val="center"/>
          </w:tcPr>
          <w:p>
            <w:pPr>
              <w:widowControl/>
              <w:jc w:val="left"/>
              <w:rPr>
                <w:rFonts w:hint="eastAsia" w:ascii="仿宋_GB2312"/>
                <w:color w:val="000000"/>
                <w:kern w:val="0"/>
                <w:sz w:val="21"/>
                <w:szCs w:val="21"/>
              </w:rPr>
            </w:pP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独山海河联运II区</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4.72</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4.72</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衢州</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39</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衢州市多式联运枢纽港</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衢州市多式联运枢纽港项目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250</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80</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40</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浙西公铁联运综合物流项目</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浙西公铁联运综合物流项目</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12.22</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8.3</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1"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台州</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41</w:t>
            </w:r>
          </w:p>
        </w:tc>
        <w:tc>
          <w:tcPr>
            <w:tcW w:w="421"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台州湾区公铁水多式联运示范工程</w:t>
            </w:r>
          </w:p>
        </w:tc>
        <w:tc>
          <w:tcPr>
            <w:tcW w:w="578"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金台铁路临海东站货（物流仓储中心）</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7.2</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7.2</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42</w:t>
            </w:r>
          </w:p>
        </w:tc>
        <w:tc>
          <w:tcPr>
            <w:tcW w:w="421" w:type="pct"/>
            <w:vMerge w:val="continue"/>
            <w:noWrap w:val="0"/>
            <w:vAlign w:val="center"/>
          </w:tcPr>
          <w:p>
            <w:pPr>
              <w:widowControl/>
              <w:jc w:val="left"/>
              <w:rPr>
                <w:rFonts w:hint="eastAsia" w:ascii="仿宋_GB2312"/>
                <w:color w:val="000000"/>
                <w:kern w:val="0"/>
                <w:sz w:val="21"/>
                <w:szCs w:val="21"/>
              </w:rPr>
            </w:pPr>
          </w:p>
        </w:tc>
        <w:tc>
          <w:tcPr>
            <w:tcW w:w="1096" w:type="pct"/>
            <w:vMerge w:val="continue"/>
            <w:noWrap w:val="0"/>
            <w:vAlign w:val="center"/>
          </w:tcPr>
          <w:p>
            <w:pPr>
              <w:widowControl/>
              <w:jc w:val="left"/>
              <w:rPr>
                <w:rFonts w:hint="eastAsia" w:ascii="仿宋_GB2312"/>
                <w:color w:val="000000"/>
                <w:kern w:val="0"/>
                <w:sz w:val="21"/>
                <w:szCs w:val="21"/>
              </w:rPr>
            </w:pPr>
          </w:p>
        </w:tc>
        <w:tc>
          <w:tcPr>
            <w:tcW w:w="578" w:type="pct"/>
            <w:vMerge w:val="continue"/>
            <w:noWrap w:val="0"/>
            <w:vAlign w:val="center"/>
          </w:tcPr>
          <w:p>
            <w:pPr>
              <w:widowControl/>
              <w:jc w:val="left"/>
              <w:rPr>
                <w:rFonts w:hint="eastAsia" w:ascii="仿宋_GB2312"/>
                <w:color w:val="000000"/>
                <w:kern w:val="0"/>
                <w:sz w:val="21"/>
                <w:szCs w:val="21"/>
              </w:rPr>
            </w:pP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台金铁路头门新区站货站（物流仓储中心）</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8.94</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7.8</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84.47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43</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黄岩台州传化洲鍠公路港</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公路运输</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黄岩台州传化洲鍠公路港</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2.4</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0.3</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44</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天台多功能智能物流综合园</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天台多功能智能物流综合园</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11</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7</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45</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台州南铁路物流基地</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台州南铁路物流基地</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11.8</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11.8</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46</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网营物联智能供应链区域运营总部</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公路运输</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网营物联智能供应链区域运营总部</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4.5</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丽水</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47</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龙泉市交通智慧物流港</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公路运输</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龙泉市交通智慧物流港</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3.6</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3.6</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48</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一般型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浙西南物流中心</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公铁联运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浙西南物流中心</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 w:hRule="atLeast"/>
          <w:jc w:val="center"/>
        </w:trPr>
        <w:tc>
          <w:tcPr>
            <w:tcW w:w="269" w:type="pct"/>
            <w:vMerge w:val="restar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舟山</w:t>
            </w: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49</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门户型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金塘保税物流中心（B型）</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公路运输</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金塘保税物流中心（B型）</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0.96</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0.96</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69" w:type="pct"/>
            <w:vMerge w:val="continue"/>
            <w:noWrap w:val="0"/>
            <w:vAlign w:val="center"/>
          </w:tcPr>
          <w:p>
            <w:pPr>
              <w:widowControl/>
              <w:jc w:val="left"/>
              <w:rPr>
                <w:rFonts w:hint="eastAsia" w:ascii="仿宋_GB2312"/>
                <w:color w:val="000000"/>
                <w:kern w:val="0"/>
                <w:sz w:val="21"/>
                <w:szCs w:val="21"/>
              </w:rPr>
            </w:pPr>
          </w:p>
        </w:tc>
        <w:tc>
          <w:tcPr>
            <w:tcW w:w="26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50</w:t>
            </w:r>
          </w:p>
        </w:tc>
        <w:tc>
          <w:tcPr>
            <w:tcW w:w="421"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地区型</w:t>
            </w:r>
          </w:p>
        </w:tc>
        <w:tc>
          <w:tcPr>
            <w:tcW w:w="1096"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舟山港综合保税区本岛分区保税物流园区</w:t>
            </w:r>
          </w:p>
        </w:tc>
        <w:tc>
          <w:tcPr>
            <w:tcW w:w="57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公水联运</w:t>
            </w:r>
          </w:p>
        </w:tc>
        <w:tc>
          <w:tcPr>
            <w:tcW w:w="838"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舟山港综合保税区本岛分区保税物流园区</w:t>
            </w:r>
          </w:p>
        </w:tc>
        <w:tc>
          <w:tcPr>
            <w:tcW w:w="47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0.42</w:t>
            </w:r>
          </w:p>
        </w:tc>
        <w:tc>
          <w:tcPr>
            <w:tcW w:w="629"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0.42</w:t>
            </w:r>
          </w:p>
        </w:tc>
        <w:tc>
          <w:tcPr>
            <w:tcW w:w="425" w:type="pct"/>
            <w:noWrap w:val="0"/>
            <w:vAlign w:val="center"/>
          </w:tcPr>
          <w:p>
            <w:pPr>
              <w:widowControl/>
              <w:jc w:val="center"/>
              <w:rPr>
                <w:rFonts w:hint="eastAsia" w:ascii="仿宋_GB2312"/>
                <w:color w:val="000000"/>
                <w:kern w:val="0"/>
                <w:sz w:val="21"/>
                <w:szCs w:val="21"/>
              </w:rPr>
            </w:pPr>
            <w:r>
              <w:rPr>
                <w:rFonts w:hint="eastAsia" w:ascii="仿宋_GB2312"/>
                <w:color w:val="000000"/>
                <w:kern w:val="0"/>
                <w:sz w:val="21"/>
                <w:szCs w:val="21"/>
              </w:rPr>
              <w:t>212</w:t>
            </w:r>
          </w:p>
        </w:tc>
      </w:tr>
    </w:tbl>
    <w:p>
      <w:pPr>
        <w:rPr>
          <w:rFonts w:hint="eastAsia" w:ascii="仿宋_GB2312"/>
        </w:rPr>
        <w:sectPr>
          <w:pgSz w:w="16838" w:h="11906" w:orient="landscape"/>
          <w:pgMar w:top="1588" w:right="2098" w:bottom="1474" w:left="1985" w:header="851" w:footer="1418" w:gutter="0"/>
          <w:cols w:space="425" w:num="1"/>
          <w:formProt w:val="0"/>
          <w:docGrid w:linePitch="579" w:charSpace="-1266"/>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25</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26</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31</w:t>
    </w:r>
    <w:r>
      <w:rPr>
        <w:rFonts w:ascii="宋体" w:hAnsi="宋体" w:eastAsia="宋体"/>
        <w:sz w:val="28"/>
        <w:szCs w:val="28"/>
      </w:rPr>
      <w:fldChar w:fldCharType="end"/>
    </w:r>
    <w:r>
      <w:rPr>
        <w:rFonts w:hint="eastAsia" w:ascii="宋体" w:hAnsi="宋体" w:eastAsia="宋体"/>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32</w:t>
    </w:r>
    <w:r>
      <w:rPr>
        <w:rFonts w:ascii="宋体" w:hAnsi="宋体" w:eastAsia="宋体"/>
        <w:sz w:val="28"/>
        <w:szCs w:val="28"/>
      </w:rPr>
      <w:fldChar w:fldCharType="end"/>
    </w:r>
    <w:r>
      <w:rPr>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811DCC"/>
    <w:rsid w:val="12811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outlineLvl w:val="0"/>
    </w:pPr>
    <w:rPr>
      <w:rFonts w:ascii="等线" w:hAnsi="等线" w:eastAsia="黑体"/>
      <w:kern w:val="44"/>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表格文字"/>
    <w:basedOn w:val="1"/>
    <w:qFormat/>
    <w:uiPriority w:val="0"/>
    <w:pPr>
      <w:adjustRightInd w:val="0"/>
      <w:snapToGrid w:val="0"/>
      <w:spacing w:line="312" w:lineRule="auto"/>
      <w:jc w:val="center"/>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2021-06-15T08:40:00Z</dcterms:created>
  <dc:creator>dell</dc:creator>
  <cp:lastModifiedBy>dell</cp:lastModifiedBy>
  <dcterms:modified xsi:type="dcterms:W3CDTF">2021-06-15T08:40:32Z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D57E9B7A5AA74C42B16C03CAAFDB8676</vt:lpwstr>
  </property>
</Properties>
</file>