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b/>
          <w:bCs/>
          <w:color w:val="auto"/>
          <w:szCs w:val="21"/>
          <w:highlight w:val="none"/>
        </w:rPr>
      </w:pPr>
      <w:r>
        <w:rPr>
          <w:rFonts w:hint="eastAsia" w:ascii="宋体" w:hAnsi="宋体"/>
          <w:b/>
          <w:bCs/>
          <w:color w:val="auto"/>
          <w:szCs w:val="21"/>
          <w:highlight w:val="none"/>
        </w:rPr>
        <w:t>附录</w:t>
      </w:r>
    </w:p>
    <w:p>
      <w:pPr>
        <w:pStyle w:val="2"/>
        <w:jc w:val="center"/>
        <w:rPr>
          <w:rFonts w:hint="eastAsia"/>
          <w:color w:val="auto"/>
          <w:szCs w:val="21"/>
          <w:highlight w:val="none"/>
        </w:rPr>
      </w:pPr>
      <w:bookmarkStart w:id="0" w:name="_Toc83398495"/>
      <w:bookmarkStart w:id="1" w:name="_Toc82423568"/>
      <w:bookmarkStart w:id="2" w:name="_Toc403992085"/>
      <w:r>
        <w:rPr>
          <w:rFonts w:hint="eastAsia"/>
          <w:color w:val="auto"/>
          <w:highlight w:val="none"/>
        </w:rPr>
        <w:t>附录1 资格审查条件（资质最低条件）</w:t>
      </w:r>
      <w:bookmarkEnd w:id="0"/>
      <w:bookmarkEnd w:id="1"/>
      <w:bookmarkEnd w:id="2"/>
    </w:p>
    <w:p>
      <w:pPr>
        <w:spacing w:line="360" w:lineRule="auto"/>
        <w:jc w:val="center"/>
        <w:rPr>
          <w:rFonts w:hint="eastAsia" w:ascii="黑体" w:hAnsi="宋体" w:eastAsia="黑体"/>
          <w:color w:val="auto"/>
          <w:szCs w:val="21"/>
          <w:highlight w:val="none"/>
        </w:rPr>
      </w:pP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85"/>
        <w:gridCol w:w="61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55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标段</w:t>
            </w:r>
          </w:p>
        </w:tc>
        <w:tc>
          <w:tcPr>
            <w:tcW w:w="662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6" w:hRule="atLeast"/>
        </w:trPr>
        <w:tc>
          <w:tcPr>
            <w:tcW w:w="255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第TJ0</w:t>
            </w:r>
            <w:r>
              <w:rPr>
                <w:rFonts w:ascii="宋体" w:hAnsi="宋体"/>
                <w:color w:val="auto"/>
                <w:szCs w:val="21"/>
                <w:highlight w:val="none"/>
              </w:rPr>
              <w:t>1</w:t>
            </w:r>
            <w:r>
              <w:rPr>
                <w:rFonts w:hint="eastAsia" w:ascii="宋体" w:hAnsi="宋体"/>
                <w:color w:val="auto"/>
                <w:szCs w:val="21"/>
                <w:highlight w:val="none"/>
              </w:rPr>
              <w:t>标段～第TJ0</w:t>
            </w:r>
            <w:r>
              <w:rPr>
                <w:rFonts w:ascii="宋体" w:hAnsi="宋体"/>
                <w:color w:val="auto"/>
                <w:szCs w:val="21"/>
                <w:highlight w:val="none"/>
              </w:rPr>
              <w:t>5</w:t>
            </w:r>
            <w:r>
              <w:rPr>
                <w:rFonts w:hint="eastAsia" w:ascii="宋体" w:hAnsi="宋体"/>
                <w:color w:val="auto"/>
                <w:szCs w:val="21"/>
                <w:highlight w:val="none"/>
              </w:rPr>
              <w:t>标段</w:t>
            </w:r>
          </w:p>
        </w:tc>
        <w:tc>
          <w:tcPr>
            <w:tcW w:w="6628"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1、投标人须具备独立法人资格，具有公路工程施工总承包一级及以上资质；</w:t>
            </w:r>
          </w:p>
          <w:p>
            <w:pPr>
              <w:spacing w:line="360" w:lineRule="auto"/>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、投标人应列入交通运输部网站（</w:t>
            </w:r>
            <w:r>
              <w:rPr>
                <w:rFonts w:ascii="宋体" w:hAnsi="宋体"/>
                <w:color w:val="auto"/>
                <w:szCs w:val="21"/>
                <w:highlight w:val="none"/>
              </w:rPr>
              <w:t>http://glxy.mot.gov.cn/）</w:t>
            </w:r>
            <w:r>
              <w:rPr>
                <w:rFonts w:hint="eastAsia" w:ascii="宋体" w:hAnsi="宋体"/>
                <w:color w:val="auto"/>
                <w:szCs w:val="21"/>
                <w:highlight w:val="none"/>
              </w:rPr>
              <w:t>中“全国公路建设市场信用信息管理系统”中最新公布的公路工程施工资质企业名录（附网页截图（输入从业单位名称或组织机构代码查询）），且投标人名称与上述名录相符。对于未进入最新公布的名录或单位名称与最新公布的名录不符的投标人，不得通过资格审查。</w:t>
            </w:r>
          </w:p>
          <w:p>
            <w:pPr>
              <w:spacing w:line="360" w:lineRule="auto"/>
              <w:rPr>
                <w:rFonts w:hint="eastAsia" w:ascii="宋体" w:hAnsi="宋体"/>
                <w:color w:val="auto"/>
                <w:highlight w:val="none"/>
              </w:rPr>
            </w:pPr>
            <w:r>
              <w:rPr>
                <w:rFonts w:hint="eastAsia" w:ascii="宋体" w:hAnsi="宋体"/>
                <w:color w:val="auto"/>
                <w:szCs w:val="21"/>
                <w:highlight w:val="none"/>
              </w:rPr>
              <w:t>3、本次招标不接受联合体投标。</w:t>
            </w:r>
          </w:p>
        </w:tc>
      </w:tr>
    </w:tbl>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r>
        <w:rPr>
          <w:rFonts w:ascii="宋体" w:hAnsi="宋体"/>
          <w:color w:val="auto"/>
          <w:szCs w:val="21"/>
          <w:highlight w:val="none"/>
        </w:rPr>
        <w:br w:type="page"/>
      </w:r>
    </w:p>
    <w:p>
      <w:pPr>
        <w:pStyle w:val="2"/>
        <w:jc w:val="center"/>
        <w:rPr>
          <w:rFonts w:hint="eastAsia" w:ascii="宋体" w:hAnsi="宋体"/>
          <w:color w:val="auto"/>
          <w:highlight w:val="none"/>
        </w:rPr>
      </w:pPr>
      <w:bookmarkStart w:id="3" w:name="_Toc83398496"/>
      <w:r>
        <w:rPr>
          <w:rFonts w:hint="eastAsia" w:ascii="宋体" w:hAnsi="宋体"/>
          <w:color w:val="auto"/>
          <w:highlight w:val="none"/>
        </w:rPr>
        <w:t>附录2 资格审查条件（财务最低要求）</w:t>
      </w:r>
      <w:bookmarkEnd w:id="3"/>
    </w:p>
    <w:p>
      <w:pPr>
        <w:spacing w:line="360" w:lineRule="auto"/>
        <w:jc w:val="center"/>
        <w:rPr>
          <w:rFonts w:hint="eastAsia" w:ascii="宋体" w:hAnsi="宋体"/>
          <w:color w:val="auto"/>
          <w:szCs w:val="21"/>
          <w:highlight w:val="none"/>
        </w:rPr>
      </w:pP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39"/>
        <w:gridCol w:w="5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标段</w:t>
            </w:r>
          </w:p>
        </w:tc>
        <w:tc>
          <w:tcPr>
            <w:tcW w:w="6350"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第TJ0</w:t>
            </w:r>
            <w:r>
              <w:rPr>
                <w:rFonts w:ascii="宋体" w:hAnsi="宋体"/>
                <w:color w:val="auto"/>
                <w:szCs w:val="21"/>
                <w:highlight w:val="none"/>
              </w:rPr>
              <w:t>1</w:t>
            </w:r>
            <w:r>
              <w:rPr>
                <w:rFonts w:hint="eastAsia" w:ascii="宋体" w:hAnsi="宋体"/>
                <w:color w:val="auto"/>
                <w:szCs w:val="21"/>
                <w:highlight w:val="none"/>
              </w:rPr>
              <w:t>标段</w:t>
            </w:r>
          </w:p>
        </w:tc>
        <w:tc>
          <w:tcPr>
            <w:tcW w:w="6350" w:type="dxa"/>
            <w:noWrap w:val="0"/>
            <w:vAlign w:val="center"/>
          </w:tcPr>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承诺提供不少于</w:t>
            </w:r>
            <w:r>
              <w:rPr>
                <w:rFonts w:ascii="宋体" w:hAnsi="宋体"/>
                <w:color w:val="auto"/>
                <w:kern w:val="0"/>
                <w:szCs w:val="21"/>
                <w:highlight w:val="none"/>
              </w:rPr>
              <w:t>6000</w:t>
            </w:r>
            <w:r>
              <w:rPr>
                <w:rFonts w:ascii="宋体" w:hAnsi="宋体"/>
                <w:color w:val="auto"/>
                <w:szCs w:val="21"/>
                <w:highlight w:val="none"/>
              </w:rPr>
              <w:t>万元</w:t>
            </w:r>
            <w:r>
              <w:rPr>
                <w:rFonts w:hint="eastAsia" w:ascii="宋体" w:hAnsi="宋体"/>
                <w:color w:val="auto"/>
                <w:szCs w:val="21"/>
                <w:highlight w:val="none"/>
              </w:rPr>
              <w:t>人民币的流动资金</w:t>
            </w:r>
            <w:r>
              <w:rPr>
                <w:rFonts w:hint="eastAsia" w:ascii="宋体" w:hAnsi="宋体"/>
                <w:b/>
                <w:color w:val="auto"/>
                <w:szCs w:val="21"/>
                <w:highlight w:val="none"/>
              </w:rPr>
              <w:t>（</w:t>
            </w:r>
            <w:r>
              <w:rPr>
                <w:rFonts w:hint="eastAsia" w:ascii="宋体" w:hAnsi="宋体"/>
                <w:color w:val="auto"/>
                <w:szCs w:val="21"/>
                <w:highlight w:val="none"/>
              </w:rPr>
              <w:t>由投标人自行决定采用银行信贷证明或财务能力承诺书</w:t>
            </w:r>
            <w:r>
              <w:rPr>
                <w:rFonts w:hint="eastAsia" w:ascii="宋体" w:hAnsi="宋体"/>
                <w:b/>
                <w:color w:val="auto"/>
                <w:szCs w:val="21"/>
                <w:highlight w:val="none"/>
              </w:rPr>
              <w:t>）</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开具银行信贷证明的银行级别：国有或商业银行县（区、市）级及以上银行。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第TJ02标段</w:t>
            </w:r>
          </w:p>
        </w:tc>
        <w:tc>
          <w:tcPr>
            <w:tcW w:w="6350" w:type="dxa"/>
            <w:noWrap w:val="0"/>
            <w:vAlign w:val="center"/>
          </w:tcPr>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承诺提供不少于</w:t>
            </w:r>
            <w:r>
              <w:rPr>
                <w:rFonts w:hint="eastAsia" w:ascii="宋体" w:hAnsi="宋体"/>
                <w:color w:val="auto"/>
                <w:kern w:val="0"/>
                <w:szCs w:val="21"/>
                <w:highlight w:val="none"/>
              </w:rPr>
              <w:t>2</w:t>
            </w:r>
            <w:r>
              <w:rPr>
                <w:rFonts w:ascii="宋体" w:hAnsi="宋体"/>
                <w:color w:val="auto"/>
                <w:kern w:val="0"/>
                <w:szCs w:val="21"/>
                <w:highlight w:val="none"/>
              </w:rPr>
              <w:t>9</w:t>
            </w:r>
            <w:r>
              <w:rPr>
                <w:rFonts w:hint="eastAsia" w:ascii="宋体" w:hAnsi="宋体"/>
                <w:color w:val="auto"/>
                <w:kern w:val="0"/>
                <w:szCs w:val="21"/>
                <w:highlight w:val="none"/>
              </w:rPr>
              <w:t>000</w:t>
            </w:r>
            <w:r>
              <w:rPr>
                <w:rFonts w:ascii="宋体" w:hAnsi="宋体"/>
                <w:color w:val="auto"/>
                <w:szCs w:val="21"/>
                <w:highlight w:val="none"/>
              </w:rPr>
              <w:t>万元</w:t>
            </w:r>
            <w:r>
              <w:rPr>
                <w:rFonts w:hint="eastAsia" w:ascii="宋体" w:hAnsi="宋体"/>
                <w:color w:val="auto"/>
                <w:szCs w:val="21"/>
                <w:highlight w:val="none"/>
              </w:rPr>
              <w:t>人民币的流动资金</w:t>
            </w:r>
            <w:r>
              <w:rPr>
                <w:rFonts w:hint="eastAsia" w:ascii="宋体" w:hAnsi="宋体"/>
                <w:b/>
                <w:color w:val="auto"/>
                <w:szCs w:val="21"/>
                <w:highlight w:val="none"/>
              </w:rPr>
              <w:t>（</w:t>
            </w:r>
            <w:r>
              <w:rPr>
                <w:rFonts w:hint="eastAsia" w:ascii="宋体" w:hAnsi="宋体"/>
                <w:color w:val="auto"/>
                <w:szCs w:val="21"/>
                <w:highlight w:val="none"/>
              </w:rPr>
              <w:t>由投标人自行决定采用银行信贷证明或财务能力承诺书</w:t>
            </w:r>
            <w:r>
              <w:rPr>
                <w:rFonts w:hint="eastAsia" w:ascii="宋体" w:hAnsi="宋体"/>
                <w:b/>
                <w:color w:val="auto"/>
                <w:szCs w:val="21"/>
                <w:highlight w:val="none"/>
              </w:rPr>
              <w:t>）</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开具银行信贷证明的银行级别：国有或商业银行县（区、市）级及以上银行。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第TJ03标段</w:t>
            </w:r>
          </w:p>
        </w:tc>
        <w:tc>
          <w:tcPr>
            <w:tcW w:w="6350" w:type="dxa"/>
            <w:noWrap w:val="0"/>
            <w:vAlign w:val="center"/>
          </w:tcPr>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承诺提供不少于30</w:t>
            </w:r>
            <w:r>
              <w:rPr>
                <w:rFonts w:ascii="宋体" w:hAnsi="宋体"/>
                <w:color w:val="auto"/>
                <w:szCs w:val="21"/>
                <w:highlight w:val="none"/>
              </w:rPr>
              <w:t>000万元</w:t>
            </w:r>
            <w:r>
              <w:rPr>
                <w:rFonts w:hint="eastAsia" w:ascii="宋体" w:hAnsi="宋体"/>
                <w:color w:val="auto"/>
                <w:szCs w:val="21"/>
                <w:highlight w:val="none"/>
              </w:rPr>
              <w:t>人民币的流动资金</w:t>
            </w:r>
            <w:r>
              <w:rPr>
                <w:rFonts w:hint="eastAsia" w:ascii="宋体" w:hAnsi="宋体"/>
                <w:b/>
                <w:color w:val="auto"/>
                <w:szCs w:val="21"/>
                <w:highlight w:val="none"/>
              </w:rPr>
              <w:t>（</w:t>
            </w:r>
            <w:r>
              <w:rPr>
                <w:rFonts w:hint="eastAsia" w:ascii="宋体" w:hAnsi="宋体"/>
                <w:color w:val="auto"/>
                <w:szCs w:val="21"/>
                <w:highlight w:val="none"/>
              </w:rPr>
              <w:t>由投标人自行决定采用银行信贷证明或财务能力承诺书</w:t>
            </w:r>
            <w:r>
              <w:rPr>
                <w:rFonts w:hint="eastAsia" w:ascii="宋体" w:hAnsi="宋体"/>
                <w:b/>
                <w:color w:val="auto"/>
                <w:szCs w:val="21"/>
                <w:highlight w:val="none"/>
              </w:rPr>
              <w:t>）</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开具银行信贷证明的银行级别：国有或商业银行县（区、市）级及以上银行。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第TJ04标段、第TJ05标段</w:t>
            </w:r>
          </w:p>
        </w:tc>
        <w:tc>
          <w:tcPr>
            <w:tcW w:w="6350" w:type="dxa"/>
            <w:noWrap w:val="0"/>
            <w:vAlign w:val="center"/>
          </w:tcPr>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承诺提供不少于15</w:t>
            </w:r>
            <w:r>
              <w:rPr>
                <w:rFonts w:ascii="宋体" w:hAnsi="宋体"/>
                <w:color w:val="auto"/>
                <w:szCs w:val="21"/>
                <w:highlight w:val="none"/>
              </w:rPr>
              <w:t>000万元</w:t>
            </w:r>
            <w:r>
              <w:rPr>
                <w:rFonts w:hint="eastAsia" w:ascii="宋体" w:hAnsi="宋体"/>
                <w:color w:val="auto"/>
                <w:szCs w:val="21"/>
                <w:highlight w:val="none"/>
              </w:rPr>
              <w:t>人民币的流动资金</w:t>
            </w:r>
            <w:r>
              <w:rPr>
                <w:rFonts w:hint="eastAsia" w:ascii="宋体" w:hAnsi="宋体"/>
                <w:b/>
                <w:color w:val="auto"/>
                <w:szCs w:val="21"/>
                <w:highlight w:val="none"/>
              </w:rPr>
              <w:t>（</w:t>
            </w:r>
            <w:r>
              <w:rPr>
                <w:rFonts w:hint="eastAsia" w:ascii="宋体" w:hAnsi="宋体"/>
                <w:color w:val="auto"/>
                <w:szCs w:val="21"/>
                <w:highlight w:val="none"/>
              </w:rPr>
              <w:t>由投标人自行决定采用银行信贷证明或财务能力承诺书</w:t>
            </w:r>
            <w:r>
              <w:rPr>
                <w:rFonts w:hint="eastAsia" w:ascii="宋体" w:hAnsi="宋体"/>
                <w:b/>
                <w:color w:val="auto"/>
                <w:szCs w:val="21"/>
                <w:highlight w:val="none"/>
              </w:rPr>
              <w:t>）</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开具银行信贷证明的银行级别：国有或商业银行县（区、市）级及以上银行。</w:t>
            </w:r>
          </w:p>
        </w:tc>
      </w:tr>
    </w:tbl>
    <w:p>
      <w:pPr>
        <w:spacing w:line="360" w:lineRule="auto"/>
        <w:rPr>
          <w:rFonts w:ascii="宋体" w:hAnsi="宋体"/>
          <w:color w:val="auto"/>
          <w:szCs w:val="21"/>
          <w:highlight w:val="none"/>
        </w:rPr>
      </w:pPr>
    </w:p>
    <w:p>
      <w:pPr>
        <w:spacing w:line="180" w:lineRule="exact"/>
        <w:rPr>
          <w:rFonts w:ascii="宋体" w:hAnsi="宋体"/>
          <w:color w:val="auto"/>
          <w:szCs w:val="21"/>
          <w:highlight w:val="none"/>
        </w:rPr>
      </w:pPr>
    </w:p>
    <w:p>
      <w:pPr>
        <w:spacing w:line="180" w:lineRule="exact"/>
        <w:rPr>
          <w:rFonts w:hint="eastAsia" w:ascii="宋体" w:hAnsi="宋体"/>
          <w:color w:val="auto"/>
          <w:szCs w:val="21"/>
          <w:highlight w:val="none"/>
        </w:rPr>
      </w:pPr>
      <w:r>
        <w:rPr>
          <w:rFonts w:ascii="宋体" w:hAnsi="宋体"/>
          <w:color w:val="auto"/>
          <w:szCs w:val="21"/>
          <w:highlight w:val="none"/>
        </w:rPr>
        <w:br w:type="page"/>
      </w:r>
    </w:p>
    <w:p>
      <w:pPr>
        <w:pStyle w:val="2"/>
        <w:spacing w:line="600" w:lineRule="exact"/>
        <w:jc w:val="center"/>
        <w:rPr>
          <w:rFonts w:hint="eastAsia" w:ascii="宋体" w:hAnsi="宋体"/>
          <w:color w:val="auto"/>
          <w:highlight w:val="none"/>
        </w:rPr>
      </w:pPr>
      <w:bookmarkStart w:id="4" w:name="_Toc83398497"/>
      <w:r>
        <w:rPr>
          <w:rFonts w:hint="eastAsia" w:ascii="宋体" w:hAnsi="宋体"/>
          <w:color w:val="auto"/>
          <w:highlight w:val="none"/>
        </w:rPr>
        <w:t>附录3 资格审查条件（业绩最低要求）</w:t>
      </w:r>
      <w:bookmarkEnd w:id="4"/>
    </w:p>
    <w:p>
      <w:pPr>
        <w:spacing w:line="240" w:lineRule="exact"/>
        <w:rPr>
          <w:rFonts w:hint="eastAsia" w:ascii="宋体" w:hAnsi="宋体"/>
          <w:color w:val="auto"/>
          <w:highlight w:val="none"/>
        </w:rPr>
      </w:pPr>
    </w:p>
    <w:tbl>
      <w:tblPr>
        <w:tblStyle w:val="4"/>
        <w:tblW w:w="893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41"/>
        <w:gridCol w:w="7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1" w:type="dxa"/>
            <w:noWrap w:val="0"/>
            <w:vAlign w:val="center"/>
          </w:tcPr>
          <w:p>
            <w:pPr>
              <w:spacing w:line="400" w:lineRule="exact"/>
              <w:jc w:val="center"/>
              <w:rPr>
                <w:color w:val="auto"/>
                <w:szCs w:val="21"/>
                <w:highlight w:val="none"/>
              </w:rPr>
            </w:pPr>
            <w:r>
              <w:rPr>
                <w:color w:val="auto"/>
                <w:szCs w:val="21"/>
                <w:highlight w:val="none"/>
              </w:rPr>
              <w:t>标段</w:t>
            </w:r>
          </w:p>
        </w:tc>
        <w:tc>
          <w:tcPr>
            <w:tcW w:w="7090" w:type="dxa"/>
            <w:noWrap w:val="0"/>
            <w:vAlign w:val="center"/>
          </w:tcPr>
          <w:p>
            <w:pPr>
              <w:spacing w:line="400" w:lineRule="exact"/>
              <w:jc w:val="center"/>
              <w:rPr>
                <w:color w:val="auto"/>
                <w:szCs w:val="21"/>
                <w:highlight w:val="none"/>
              </w:rPr>
            </w:pPr>
            <w:r>
              <w:rPr>
                <w:color w:val="auto"/>
                <w:szCs w:val="21"/>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1"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第TJ0</w:t>
            </w:r>
            <w:r>
              <w:rPr>
                <w:rFonts w:ascii="宋体" w:hAnsi="宋体"/>
                <w:color w:val="auto"/>
                <w:szCs w:val="21"/>
                <w:highlight w:val="none"/>
              </w:rPr>
              <w:t>1标段</w:t>
            </w:r>
          </w:p>
        </w:tc>
        <w:tc>
          <w:tcPr>
            <w:tcW w:w="7090" w:type="dxa"/>
            <w:noWrap w:val="0"/>
            <w:vAlign w:val="center"/>
          </w:tcPr>
          <w:p>
            <w:pPr>
              <w:autoSpaceDE w:val="0"/>
              <w:autoSpaceDN w:val="0"/>
              <w:adjustRightInd w:val="0"/>
              <w:spacing w:line="36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1、自2016年7月1 日（以实际交工日期为准）以来按一个标段成功完成过新（改、扩）建高速公路【且含枢纽互通式立体交叉工程（指高速公路相互交叉）】</w:t>
            </w:r>
            <w:r>
              <w:rPr>
                <w:rFonts w:hint="eastAsia" w:ascii="宋体" w:hAnsi="宋体"/>
                <w:color w:val="auto"/>
                <w:kern w:val="0"/>
                <w:szCs w:val="21"/>
                <w:highlight w:val="none"/>
                <w:lang w:val="en-US" w:eastAsia="zh-CN"/>
              </w:rPr>
              <w:t>工程的施工</w:t>
            </w:r>
            <w:r>
              <w:rPr>
                <w:rFonts w:hint="eastAsia" w:ascii="宋体" w:hAnsi="宋体"/>
                <w:color w:val="auto"/>
                <w:kern w:val="0"/>
                <w:szCs w:val="21"/>
                <w:highlight w:val="none"/>
              </w:rPr>
              <w:t>；</w:t>
            </w:r>
          </w:p>
          <w:p>
            <w:pPr>
              <w:autoSpaceDE w:val="0"/>
              <w:autoSpaceDN w:val="0"/>
              <w:adjustRightInd w:val="0"/>
              <w:spacing w:line="360" w:lineRule="exact"/>
              <w:ind w:firstLine="420" w:firstLineChars="200"/>
              <w:rPr>
                <w:rFonts w:hint="eastAsia"/>
                <w:color w:val="auto"/>
                <w:highlight w:val="none"/>
              </w:rPr>
            </w:pPr>
            <w:r>
              <w:rPr>
                <w:rFonts w:hint="eastAsia" w:ascii="宋体" w:hAnsi="宋体"/>
                <w:color w:val="auto"/>
                <w:kern w:val="0"/>
                <w:szCs w:val="21"/>
                <w:highlight w:val="none"/>
              </w:rPr>
              <w:t>2、自2016年7月1 日（以实际交工日期为准）以来按一个标段成功完成过新（改、扩）建高速公路【且含主线沥青混凝土路面（不含路面大中修及小修保养）工程】</w:t>
            </w:r>
            <w:r>
              <w:rPr>
                <w:rFonts w:hint="eastAsia" w:ascii="宋体" w:hAnsi="宋体"/>
                <w:color w:val="auto"/>
                <w:kern w:val="0"/>
                <w:szCs w:val="21"/>
                <w:highlight w:val="none"/>
                <w:lang w:val="en-US" w:eastAsia="zh-CN"/>
              </w:rPr>
              <w:t>的施工</w:t>
            </w:r>
            <w:r>
              <w:rPr>
                <w:rFonts w:hint="eastAsia" w:ascii="宋体" w:hAnsi="宋体"/>
                <w:color w:val="auto"/>
                <w:kern w:val="0"/>
                <w:szCs w:val="21"/>
                <w:highlight w:val="none"/>
              </w:rPr>
              <w:t>。</w:t>
            </w:r>
            <w:r>
              <w:rPr>
                <w:rFonts w:hint="eastAsia"/>
                <w:color w:val="auto"/>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第TJ02</w:t>
            </w:r>
            <w:r>
              <w:rPr>
                <w:rFonts w:ascii="宋体" w:hAnsi="宋体"/>
                <w:color w:val="auto"/>
                <w:szCs w:val="21"/>
                <w:highlight w:val="none"/>
              </w:rPr>
              <w:t>标段</w:t>
            </w:r>
            <w:r>
              <w:rPr>
                <w:rFonts w:hint="eastAsia" w:ascii="宋体" w:hAnsi="宋体"/>
                <w:color w:val="auto"/>
                <w:szCs w:val="21"/>
                <w:highlight w:val="none"/>
              </w:rPr>
              <w:t>、第TJ03</w:t>
            </w:r>
            <w:r>
              <w:rPr>
                <w:rFonts w:ascii="宋体" w:hAnsi="宋体"/>
                <w:color w:val="auto"/>
                <w:szCs w:val="21"/>
                <w:highlight w:val="none"/>
              </w:rPr>
              <w:t>标段</w:t>
            </w:r>
          </w:p>
          <w:p>
            <w:pPr>
              <w:jc w:val="center"/>
              <w:rPr>
                <w:rFonts w:hint="eastAsia" w:ascii="宋体" w:hAnsi="宋体"/>
                <w:color w:val="auto"/>
                <w:szCs w:val="21"/>
                <w:highlight w:val="none"/>
              </w:rPr>
            </w:pPr>
          </w:p>
        </w:tc>
        <w:tc>
          <w:tcPr>
            <w:tcW w:w="7090" w:type="dxa"/>
            <w:noWrap w:val="0"/>
            <w:vAlign w:val="center"/>
          </w:tcPr>
          <w:p>
            <w:pPr>
              <w:autoSpaceDE w:val="0"/>
              <w:autoSpaceDN w:val="0"/>
              <w:adjustRightInd w:val="0"/>
              <w:spacing w:line="360" w:lineRule="exact"/>
              <w:ind w:firstLine="420" w:firstLineChars="200"/>
              <w:rPr>
                <w:rFonts w:hint="eastAsia"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、自2016年7月1日（以实际交工日期为准）以来按一个标段成功完成过新（改、扩）建高速公路（且含单座长度1000米及以上桥梁）</w:t>
            </w:r>
            <w:r>
              <w:rPr>
                <w:rFonts w:hint="eastAsia" w:ascii="宋体" w:hAnsi="宋体"/>
                <w:color w:val="auto"/>
                <w:kern w:val="0"/>
                <w:szCs w:val="21"/>
                <w:highlight w:val="none"/>
                <w:lang w:val="en-US" w:eastAsia="zh-CN"/>
              </w:rPr>
              <w:t>工程的</w:t>
            </w:r>
            <w:r>
              <w:rPr>
                <w:rFonts w:hint="eastAsia" w:ascii="宋体" w:hAnsi="宋体"/>
                <w:color w:val="auto"/>
                <w:kern w:val="0"/>
                <w:szCs w:val="21"/>
                <w:highlight w:val="none"/>
              </w:rPr>
              <w:t>施工；</w:t>
            </w:r>
          </w:p>
          <w:p>
            <w:pPr>
              <w:autoSpaceDE w:val="0"/>
              <w:autoSpaceDN w:val="0"/>
              <w:adjustRightInd w:val="0"/>
              <w:spacing w:line="36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2、自2016年7月1日（以实际交工日期为准）以来按一个标段成功完成过新（改、扩）建高速公路（且含钢混组合梁结构桥梁）</w:t>
            </w:r>
            <w:r>
              <w:rPr>
                <w:rFonts w:hint="eastAsia" w:ascii="宋体" w:hAnsi="宋体"/>
                <w:color w:val="auto"/>
                <w:kern w:val="0"/>
                <w:szCs w:val="21"/>
                <w:highlight w:val="none"/>
                <w:lang w:val="en-US" w:eastAsia="zh-CN"/>
              </w:rPr>
              <w:t>工程的</w:t>
            </w:r>
            <w:r>
              <w:rPr>
                <w:rFonts w:hint="eastAsia" w:ascii="宋体" w:hAnsi="宋体"/>
                <w:color w:val="auto"/>
                <w:kern w:val="0"/>
                <w:szCs w:val="21"/>
                <w:highlight w:val="none"/>
              </w:rPr>
              <w:t>施工；</w:t>
            </w:r>
          </w:p>
          <w:p>
            <w:pPr>
              <w:autoSpaceDE w:val="0"/>
              <w:autoSpaceDN w:val="0"/>
              <w:adjustRightInd w:val="0"/>
              <w:spacing w:line="36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3、自2016年7月1 日（以实际交工日期为准）以来按一个标段成功完成过新（改、扩）建高速公路【且含主线沥青混凝土路面（不含路面大中修及小修保养）工程】</w:t>
            </w:r>
            <w:r>
              <w:rPr>
                <w:rFonts w:hint="eastAsia" w:ascii="宋体" w:hAnsi="宋体"/>
                <w:color w:val="auto"/>
                <w:kern w:val="0"/>
                <w:szCs w:val="21"/>
                <w:highlight w:val="none"/>
                <w:lang w:val="en-US" w:eastAsia="zh-CN"/>
              </w:rPr>
              <w:t>的</w:t>
            </w:r>
            <w:r>
              <w:rPr>
                <w:rFonts w:hint="eastAsia" w:ascii="宋体" w:hAnsi="宋体"/>
                <w:color w:val="auto"/>
                <w:kern w:val="0"/>
                <w:szCs w:val="21"/>
                <w:highlight w:val="none"/>
              </w:rPr>
              <w:t>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1"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第TJ04</w:t>
            </w:r>
            <w:r>
              <w:rPr>
                <w:rFonts w:ascii="宋体" w:hAnsi="宋体"/>
                <w:color w:val="auto"/>
                <w:szCs w:val="21"/>
                <w:highlight w:val="none"/>
              </w:rPr>
              <w:t>标段</w:t>
            </w:r>
          </w:p>
        </w:tc>
        <w:tc>
          <w:tcPr>
            <w:tcW w:w="7090" w:type="dxa"/>
            <w:noWrap w:val="0"/>
            <w:vAlign w:val="center"/>
          </w:tcPr>
          <w:p>
            <w:pPr>
              <w:autoSpaceDE w:val="0"/>
              <w:autoSpaceDN w:val="0"/>
              <w:adjustRightInd w:val="0"/>
              <w:spacing w:line="360" w:lineRule="exact"/>
              <w:ind w:firstLine="420" w:firstLineChars="200"/>
              <w:rPr>
                <w:rFonts w:hint="eastAsia"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、自2016年7月1日（以实际交工日期为准）以来按一个标段成功完成过新（改、扩）建高速公路（且含单座长度1000米及以上桥梁）</w:t>
            </w:r>
            <w:r>
              <w:rPr>
                <w:rFonts w:hint="eastAsia" w:ascii="宋体" w:hAnsi="宋体"/>
                <w:color w:val="auto"/>
                <w:kern w:val="0"/>
                <w:szCs w:val="21"/>
                <w:highlight w:val="none"/>
                <w:lang w:val="en-US" w:eastAsia="zh-CN"/>
              </w:rPr>
              <w:t>工程的</w:t>
            </w:r>
            <w:r>
              <w:rPr>
                <w:rFonts w:hint="eastAsia" w:ascii="宋体" w:hAnsi="宋体"/>
                <w:color w:val="auto"/>
                <w:kern w:val="0"/>
                <w:szCs w:val="21"/>
                <w:highlight w:val="none"/>
              </w:rPr>
              <w:t>施工；</w:t>
            </w:r>
          </w:p>
          <w:p>
            <w:pPr>
              <w:autoSpaceDE w:val="0"/>
              <w:autoSpaceDN w:val="0"/>
              <w:adjustRightInd w:val="0"/>
              <w:spacing w:line="36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2、自2016年7月1日（以实际交工日期为准）以来按一个标段成功完成过新（改、扩）建高速公路（且含单跨跨径6</w:t>
            </w:r>
            <w:r>
              <w:rPr>
                <w:rFonts w:ascii="宋体" w:hAnsi="宋体"/>
                <w:color w:val="auto"/>
                <w:kern w:val="0"/>
                <w:szCs w:val="21"/>
                <w:highlight w:val="none"/>
              </w:rPr>
              <w:t>0</w:t>
            </w:r>
            <w:r>
              <w:rPr>
                <w:rFonts w:hint="eastAsia" w:ascii="宋体" w:hAnsi="宋体"/>
                <w:color w:val="auto"/>
                <w:kern w:val="0"/>
                <w:szCs w:val="21"/>
                <w:highlight w:val="none"/>
              </w:rPr>
              <w:t>米及以上梁式桥）</w:t>
            </w:r>
            <w:r>
              <w:rPr>
                <w:rFonts w:hint="eastAsia" w:ascii="宋体" w:hAnsi="宋体"/>
                <w:color w:val="auto"/>
                <w:kern w:val="0"/>
                <w:szCs w:val="21"/>
                <w:highlight w:val="none"/>
                <w:lang w:val="en-US" w:eastAsia="zh-CN"/>
              </w:rPr>
              <w:t>工程的</w:t>
            </w:r>
            <w:r>
              <w:rPr>
                <w:rFonts w:hint="eastAsia" w:ascii="宋体" w:hAnsi="宋体"/>
                <w:color w:val="auto"/>
                <w:kern w:val="0"/>
                <w:szCs w:val="21"/>
                <w:highlight w:val="none"/>
              </w:rPr>
              <w:t>施工；</w:t>
            </w:r>
          </w:p>
          <w:p>
            <w:pPr>
              <w:autoSpaceDE w:val="0"/>
              <w:autoSpaceDN w:val="0"/>
              <w:adjustRightInd w:val="0"/>
              <w:spacing w:line="36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3、自2016年7月1 日（以实际交工日期为准）以来按一个标段成功完成过新（改、扩）建高速公路【且含主线沥青混凝土路面（不含路面大中修及小修保养）工程】</w:t>
            </w:r>
            <w:r>
              <w:rPr>
                <w:rFonts w:hint="eastAsia" w:ascii="宋体" w:hAnsi="宋体"/>
                <w:color w:val="auto"/>
                <w:kern w:val="0"/>
                <w:szCs w:val="21"/>
                <w:highlight w:val="none"/>
                <w:lang w:val="en-US" w:eastAsia="zh-CN"/>
              </w:rPr>
              <w:t>的</w:t>
            </w:r>
            <w:r>
              <w:rPr>
                <w:rFonts w:hint="eastAsia" w:ascii="宋体" w:hAnsi="宋体"/>
                <w:color w:val="auto"/>
                <w:kern w:val="0"/>
                <w:szCs w:val="21"/>
                <w:highlight w:val="none"/>
              </w:rPr>
              <w:t>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1"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第TJ05</w:t>
            </w:r>
            <w:r>
              <w:rPr>
                <w:rFonts w:ascii="宋体" w:hAnsi="宋体"/>
                <w:color w:val="auto"/>
                <w:szCs w:val="21"/>
                <w:highlight w:val="none"/>
              </w:rPr>
              <w:t>标段</w:t>
            </w:r>
          </w:p>
        </w:tc>
        <w:tc>
          <w:tcPr>
            <w:tcW w:w="7090" w:type="dxa"/>
            <w:noWrap w:val="0"/>
            <w:vAlign w:val="center"/>
          </w:tcPr>
          <w:p>
            <w:pPr>
              <w:autoSpaceDE w:val="0"/>
              <w:autoSpaceDN w:val="0"/>
              <w:adjustRightInd w:val="0"/>
              <w:spacing w:line="36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1、自2016年7月1 日（以实际交工日期为准）以来按一个标段成功完成过新（改、扩）建高速公路【且含枢纽互通式立体交叉工程（指高速公路相互交叉）】</w:t>
            </w:r>
            <w:r>
              <w:rPr>
                <w:rFonts w:hint="eastAsia" w:ascii="宋体" w:hAnsi="宋体"/>
                <w:color w:val="auto"/>
                <w:kern w:val="0"/>
                <w:szCs w:val="21"/>
                <w:highlight w:val="none"/>
                <w:lang w:val="en-US" w:eastAsia="zh-CN"/>
              </w:rPr>
              <w:t>工程的</w:t>
            </w:r>
            <w:r>
              <w:rPr>
                <w:rFonts w:hint="eastAsia" w:ascii="宋体" w:hAnsi="宋体"/>
                <w:color w:val="auto"/>
                <w:kern w:val="0"/>
                <w:szCs w:val="21"/>
                <w:highlight w:val="none"/>
              </w:rPr>
              <w:t>施工；</w:t>
            </w:r>
          </w:p>
          <w:p>
            <w:pPr>
              <w:autoSpaceDE w:val="0"/>
              <w:autoSpaceDN w:val="0"/>
              <w:adjustRightInd w:val="0"/>
              <w:spacing w:line="360" w:lineRule="exact"/>
              <w:ind w:firstLine="420" w:firstLineChars="200"/>
              <w:rPr>
                <w:rFonts w:hint="eastAsia"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、自2016年7月1日（以实际交工日期为准）以来按一个标段成功完成过新（改、扩）建高速公路（且含单座长度1000米及以上桥梁）</w:t>
            </w:r>
            <w:r>
              <w:rPr>
                <w:rFonts w:hint="eastAsia" w:ascii="宋体" w:hAnsi="宋体"/>
                <w:color w:val="auto"/>
                <w:kern w:val="0"/>
                <w:szCs w:val="21"/>
                <w:highlight w:val="none"/>
                <w:lang w:val="en-US" w:eastAsia="zh-CN"/>
              </w:rPr>
              <w:t>工程的</w:t>
            </w:r>
            <w:r>
              <w:rPr>
                <w:rFonts w:hint="eastAsia" w:ascii="宋体" w:hAnsi="宋体"/>
                <w:color w:val="auto"/>
                <w:kern w:val="0"/>
                <w:szCs w:val="21"/>
                <w:highlight w:val="none"/>
              </w:rPr>
              <w:t>施工；</w:t>
            </w:r>
          </w:p>
          <w:p>
            <w:pPr>
              <w:autoSpaceDE w:val="0"/>
              <w:autoSpaceDN w:val="0"/>
              <w:adjustRightInd w:val="0"/>
              <w:spacing w:line="36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3、自2016年7月1 日（以实际交工日期为准）以来按一个标段成功完成过新（改、扩）建高速公路【且含主线沥青混凝土路面（不含路面大中修及小修保养）工程】</w:t>
            </w:r>
            <w:r>
              <w:rPr>
                <w:rFonts w:hint="eastAsia" w:ascii="宋体" w:hAnsi="宋体"/>
                <w:color w:val="auto"/>
                <w:kern w:val="0"/>
                <w:szCs w:val="21"/>
                <w:highlight w:val="none"/>
                <w:lang w:val="en-US" w:eastAsia="zh-CN"/>
              </w:rPr>
              <w:t>工程的</w:t>
            </w:r>
            <w:r>
              <w:rPr>
                <w:rFonts w:hint="eastAsia" w:ascii="宋体" w:hAnsi="宋体"/>
                <w:color w:val="auto"/>
                <w:kern w:val="0"/>
                <w:szCs w:val="21"/>
                <w:highlight w:val="none"/>
              </w:rPr>
              <w:t>施工。</w:t>
            </w:r>
          </w:p>
        </w:tc>
      </w:tr>
    </w:tbl>
    <w:p>
      <w:pPr>
        <w:spacing w:line="340" w:lineRule="exact"/>
        <w:ind w:firstLine="420" w:firstLineChars="200"/>
        <w:rPr>
          <w:color w:val="auto"/>
          <w:highlight w:val="none"/>
        </w:rPr>
      </w:pPr>
      <w:r>
        <w:rPr>
          <w:rFonts w:hint="eastAsia"/>
          <w:color w:val="auto"/>
          <w:highlight w:val="none"/>
        </w:rPr>
        <w:t>注</w:t>
      </w:r>
      <w:r>
        <w:rPr>
          <w:color w:val="auto"/>
          <w:highlight w:val="none"/>
        </w:rPr>
        <w:t>：</w:t>
      </w:r>
      <w:r>
        <w:rPr>
          <w:rFonts w:hint="eastAsia"/>
          <w:color w:val="auto"/>
          <w:highlight w:val="none"/>
        </w:rPr>
        <w:t>1、</w:t>
      </w:r>
      <w:r>
        <w:rPr>
          <w:color w:val="auto"/>
          <w:highlight w:val="none"/>
        </w:rPr>
        <w:t>投标人应在</w:t>
      </w:r>
      <w:r>
        <w:rPr>
          <w:rFonts w:hint="eastAsia"/>
          <w:color w:val="auto"/>
          <w:highlight w:val="none"/>
        </w:rPr>
        <w:t>“</w:t>
      </w:r>
      <w:r>
        <w:rPr>
          <w:color w:val="auto"/>
          <w:highlight w:val="none"/>
        </w:rPr>
        <w:t>第八章</w:t>
      </w:r>
      <w:r>
        <w:rPr>
          <w:rFonts w:hint="eastAsia"/>
          <w:color w:val="auto"/>
          <w:highlight w:val="none"/>
        </w:rPr>
        <w:t xml:space="preserve"> 投</w:t>
      </w:r>
      <w:r>
        <w:rPr>
          <w:color w:val="auto"/>
          <w:highlight w:val="none"/>
        </w:rPr>
        <w:t>标文件格式</w:t>
      </w:r>
      <w:r>
        <w:rPr>
          <w:rFonts w:hint="eastAsia"/>
          <w:color w:val="auto"/>
          <w:highlight w:val="none"/>
        </w:rPr>
        <w:t>”</w:t>
      </w:r>
      <w:r>
        <w:rPr>
          <w:color w:val="auto"/>
          <w:highlight w:val="none"/>
        </w:rPr>
        <w:t>的</w:t>
      </w:r>
      <w:r>
        <w:rPr>
          <w:rFonts w:hint="eastAsia"/>
          <w:color w:val="auto"/>
          <w:highlight w:val="none"/>
        </w:rPr>
        <w:t>“2016年</w:t>
      </w:r>
      <w:r>
        <w:rPr>
          <w:color w:val="auto"/>
          <w:highlight w:val="none"/>
        </w:rPr>
        <w:t>7月1日</w:t>
      </w:r>
      <w:r>
        <w:rPr>
          <w:rFonts w:hint="eastAsia"/>
          <w:color w:val="auto"/>
          <w:highlight w:val="none"/>
        </w:rPr>
        <w:t>以来完成的类似项目情况表”后附：(1)中标通知书</w:t>
      </w:r>
      <w:r>
        <w:rPr>
          <w:rFonts w:hint="eastAsia"/>
          <w:color w:val="auto"/>
          <w:highlight w:val="none"/>
          <w:lang w:val="en-US" w:eastAsia="zh-CN"/>
        </w:rPr>
        <w:t>复制</w:t>
      </w:r>
      <w:r>
        <w:rPr>
          <w:rFonts w:hint="eastAsia"/>
          <w:color w:val="auto"/>
          <w:highlight w:val="none"/>
        </w:rPr>
        <w:t>件；(2)合同协议书</w:t>
      </w:r>
      <w:r>
        <w:rPr>
          <w:rFonts w:hint="eastAsia"/>
          <w:color w:val="auto"/>
          <w:highlight w:val="none"/>
          <w:lang w:val="en-US" w:eastAsia="zh-CN"/>
        </w:rPr>
        <w:t>复制</w:t>
      </w:r>
      <w:r>
        <w:rPr>
          <w:rFonts w:hint="eastAsia"/>
          <w:color w:val="auto"/>
          <w:highlight w:val="none"/>
        </w:rPr>
        <w:t>件；(3)质量证明文件（由项目发包人出具的公路工程（标段）交工验收证书或竣工验收委员会出具的公路工程竣工验收鉴定书或质量监督机构对各参建单位签发的工作综合评价等级证书）的</w:t>
      </w:r>
      <w:r>
        <w:rPr>
          <w:rFonts w:hint="eastAsia"/>
          <w:color w:val="auto"/>
          <w:highlight w:val="none"/>
          <w:lang w:val="en-US" w:eastAsia="zh-CN"/>
        </w:rPr>
        <w:t>复制</w:t>
      </w:r>
      <w:r>
        <w:rPr>
          <w:rFonts w:hint="eastAsia"/>
          <w:color w:val="auto"/>
          <w:highlight w:val="none"/>
        </w:rPr>
        <w:t>件；</w:t>
      </w:r>
      <w:r>
        <w:rPr>
          <w:rFonts w:hint="eastAsia" w:ascii="宋体" w:hAnsi="宋体"/>
          <w:color w:val="auto"/>
          <w:highlight w:val="none"/>
        </w:rPr>
        <w:t>（4）在“浙江省交通运输厅建设市场诚信信息系统”中</w:t>
      </w:r>
      <w:r>
        <w:rPr>
          <w:rFonts w:ascii="宋体" w:hAnsi="宋体"/>
          <w:color w:val="auto"/>
          <w:highlight w:val="none"/>
        </w:rPr>
        <w:t>公开的</w:t>
      </w:r>
      <w:r>
        <w:rPr>
          <w:rFonts w:hint="eastAsia" w:ascii="宋体" w:hAnsi="宋体"/>
          <w:color w:val="auto"/>
          <w:highlight w:val="none"/>
        </w:rPr>
        <w:t>含有该系统水印的《主要业绩信息一览表》打印件</w:t>
      </w:r>
      <w:r>
        <w:rPr>
          <w:rFonts w:hint="eastAsia"/>
          <w:color w:val="auto"/>
          <w:highlight w:val="none"/>
        </w:rPr>
        <w:t>。上述四项材料缺一不可，否则业绩不予认可。</w:t>
      </w:r>
    </w:p>
    <w:p>
      <w:pPr>
        <w:spacing w:line="340" w:lineRule="exact"/>
        <w:ind w:firstLine="420" w:firstLineChars="200"/>
        <w:rPr>
          <w:rFonts w:hint="eastAsia"/>
          <w:color w:val="auto"/>
          <w:highlight w:val="none"/>
        </w:rPr>
      </w:pPr>
      <w:r>
        <w:rPr>
          <w:rFonts w:hint="eastAsia"/>
          <w:color w:val="auto"/>
          <w:highlight w:val="none"/>
        </w:rPr>
        <w:t>上述资料中的施工单位名称与投标人名称必须一致，否则业绩不予认可。以下情形除外：</w:t>
      </w:r>
    </w:p>
    <w:p>
      <w:pPr>
        <w:spacing w:line="340" w:lineRule="exact"/>
        <w:ind w:firstLine="420" w:firstLineChars="200"/>
        <w:rPr>
          <w:rFonts w:hint="eastAsia"/>
          <w:color w:val="auto"/>
          <w:highlight w:val="none"/>
        </w:rPr>
      </w:pPr>
      <w:r>
        <w:rPr>
          <w:rFonts w:hint="eastAsia" w:ascii="宋体" w:hAnsi="宋体"/>
          <w:color w:val="auto"/>
          <w:highlight w:val="none"/>
        </w:rPr>
        <w:t>（1）施工单位名称发生合法变更的，但需提供法定部门的批准材料。</w:t>
      </w:r>
    </w:p>
    <w:p>
      <w:pPr>
        <w:spacing w:line="340" w:lineRule="exact"/>
        <w:ind w:firstLine="420" w:firstLineChars="200"/>
        <w:rPr>
          <w:color w:val="auto"/>
          <w:highlight w:val="none"/>
        </w:rPr>
      </w:pPr>
      <w:r>
        <w:rPr>
          <w:rFonts w:hint="eastAsia" w:ascii="宋体" w:hAnsi="宋体"/>
          <w:color w:val="auto"/>
          <w:highlight w:val="none"/>
        </w:rPr>
        <w:t>（2）施工单位业绩发生合法承继的，但需提供业绩合法承继的有效证明，相关业绩信息在浙江省交通运输厅建设市场诚信信息系统完成公开的可认定为合法承继。</w:t>
      </w:r>
    </w:p>
    <w:p>
      <w:pPr>
        <w:spacing w:line="340" w:lineRule="exact"/>
        <w:ind w:firstLine="420" w:firstLineChars="200"/>
        <w:rPr>
          <w:color w:val="auto"/>
          <w:highlight w:val="none"/>
        </w:rPr>
      </w:pPr>
      <w:r>
        <w:rPr>
          <w:rFonts w:hint="eastAsia"/>
          <w:color w:val="auto"/>
          <w:highlight w:val="none"/>
        </w:rPr>
        <w:t>工程规模解释顺序为：质量证明文件、合同协议书、中标通知书；如上述资料中均未体现工程规模、技术标准、主要工程内容的，必须附项目质量监督部门或项目所在地设区市行业主管部门出具的证明材料，否则业绩不予认可。</w:t>
      </w:r>
    </w:p>
    <w:p>
      <w:pPr>
        <w:spacing w:line="340" w:lineRule="exact"/>
        <w:ind w:firstLine="420" w:firstLineChars="200"/>
        <w:rPr>
          <w:rFonts w:hint="eastAsia"/>
          <w:color w:val="auto"/>
          <w:highlight w:val="none"/>
        </w:rPr>
      </w:pPr>
      <w:r>
        <w:rPr>
          <w:rFonts w:hint="eastAsia"/>
          <w:color w:val="auto"/>
          <w:highlight w:val="none"/>
        </w:rPr>
        <w:t>2、钢混组合梁结构指：钢混组合梁（钢桁架梁除外）、钢箱组合梁、钢板组合梁、槽型组合梁、工型组合梁、π型组合梁等结构；上述结构名称为叠合梁的亦符合要求。</w:t>
      </w:r>
    </w:p>
    <w:p>
      <w:pPr>
        <w:spacing w:line="340" w:lineRule="exact"/>
        <w:ind w:firstLine="420" w:firstLineChars="200"/>
        <w:rPr>
          <w:rFonts w:hint="eastAsia"/>
          <w:color w:val="auto"/>
          <w:highlight w:val="none"/>
        </w:rPr>
      </w:pPr>
    </w:p>
    <w:p>
      <w:pPr>
        <w:spacing w:line="340" w:lineRule="exact"/>
        <w:ind w:firstLine="420" w:firstLineChars="200"/>
        <w:rPr>
          <w:color w:val="auto"/>
          <w:highlight w:val="none"/>
        </w:rPr>
      </w:pPr>
      <w:r>
        <w:rPr>
          <w:color w:val="auto"/>
          <w:highlight w:val="none"/>
        </w:rPr>
        <w:br w:type="page"/>
      </w:r>
    </w:p>
    <w:p>
      <w:pPr>
        <w:pStyle w:val="2"/>
        <w:jc w:val="center"/>
        <w:rPr>
          <w:rFonts w:hint="eastAsia" w:ascii="宋体" w:hAnsi="宋体"/>
          <w:color w:val="auto"/>
          <w:highlight w:val="none"/>
        </w:rPr>
      </w:pPr>
      <w:bookmarkStart w:id="5" w:name="_Toc83398498"/>
      <w:bookmarkStart w:id="6" w:name="_Toc82423575"/>
      <w:bookmarkStart w:id="7" w:name="_Toc403992088"/>
      <w:r>
        <w:rPr>
          <w:rFonts w:hint="eastAsia" w:ascii="宋体" w:hAnsi="宋体"/>
          <w:color w:val="auto"/>
          <w:highlight w:val="none"/>
        </w:rPr>
        <w:t>附录4 资格审查条件（信誉最低要求）</w:t>
      </w:r>
      <w:bookmarkEnd w:id="5"/>
      <w:bookmarkEnd w:id="6"/>
      <w:bookmarkEnd w:id="7"/>
    </w:p>
    <w:p>
      <w:pPr>
        <w:rPr>
          <w:rFonts w:hint="eastAsia" w:ascii="宋体" w:hAnsi="宋体"/>
          <w:color w:val="auto"/>
          <w:highlight w:val="none"/>
        </w:rPr>
      </w:pP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55"/>
        <w:gridCol w:w="5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2899" w:type="dxa"/>
            <w:noWrap w:val="0"/>
            <w:vAlign w:val="center"/>
          </w:tcPr>
          <w:p>
            <w:pPr>
              <w:spacing w:line="360" w:lineRule="auto"/>
              <w:jc w:val="center"/>
              <w:rPr>
                <w:rFonts w:hint="eastAsia" w:ascii="宋体" w:hAnsi="宋体"/>
                <w:color w:val="auto"/>
                <w:szCs w:val="21"/>
                <w:highlight w:val="none"/>
              </w:rPr>
            </w:pPr>
            <w:r>
              <w:rPr>
                <w:rFonts w:hint="eastAsia" w:ascii="宋体" w:hAnsi="宋体" w:cs="宋体"/>
                <w:color w:val="auto"/>
                <w:szCs w:val="21"/>
                <w:highlight w:val="none"/>
              </w:rPr>
              <w:t>标段</w:t>
            </w:r>
          </w:p>
        </w:tc>
        <w:tc>
          <w:tcPr>
            <w:tcW w:w="6775"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28" w:hRule="atLeast"/>
        </w:trPr>
        <w:tc>
          <w:tcPr>
            <w:tcW w:w="2899" w:type="dxa"/>
            <w:noWrap w:val="0"/>
            <w:vAlign w:val="center"/>
          </w:tcPr>
          <w:p>
            <w:pPr>
              <w:jc w:val="center"/>
              <w:rPr>
                <w:rFonts w:hint="eastAsia"/>
                <w:color w:val="auto"/>
                <w:szCs w:val="21"/>
                <w:highlight w:val="none"/>
              </w:rPr>
            </w:pPr>
            <w:r>
              <w:rPr>
                <w:rFonts w:hint="eastAsia" w:ascii="宋体" w:hAnsi="宋体"/>
                <w:color w:val="auto"/>
                <w:szCs w:val="21"/>
                <w:highlight w:val="none"/>
              </w:rPr>
              <w:t>第TJ0</w:t>
            </w:r>
            <w:r>
              <w:rPr>
                <w:rFonts w:ascii="宋体" w:hAnsi="宋体"/>
                <w:color w:val="auto"/>
                <w:szCs w:val="21"/>
                <w:highlight w:val="none"/>
              </w:rPr>
              <w:t>1</w:t>
            </w:r>
            <w:r>
              <w:rPr>
                <w:rFonts w:hint="eastAsia" w:ascii="宋体" w:hAnsi="宋体"/>
                <w:color w:val="auto"/>
                <w:szCs w:val="21"/>
                <w:highlight w:val="none"/>
              </w:rPr>
              <w:t>标段～第TJ0</w:t>
            </w:r>
            <w:r>
              <w:rPr>
                <w:rFonts w:ascii="宋体" w:hAnsi="宋体"/>
                <w:color w:val="auto"/>
                <w:szCs w:val="21"/>
                <w:highlight w:val="none"/>
              </w:rPr>
              <w:t>5</w:t>
            </w:r>
            <w:r>
              <w:rPr>
                <w:rFonts w:hint="eastAsia" w:ascii="宋体" w:hAnsi="宋体"/>
                <w:color w:val="auto"/>
                <w:szCs w:val="21"/>
                <w:highlight w:val="none"/>
              </w:rPr>
              <w:t>标段</w:t>
            </w:r>
          </w:p>
        </w:tc>
        <w:tc>
          <w:tcPr>
            <w:tcW w:w="6775" w:type="dxa"/>
            <w:noWrap w:val="0"/>
            <w:vAlign w:val="center"/>
          </w:tcPr>
          <w:p>
            <w:pPr>
              <w:spacing w:line="360" w:lineRule="auto"/>
              <w:ind w:firstLine="210" w:firstLineChars="100"/>
              <w:rPr>
                <w:rFonts w:ascii="宋体" w:hAnsi="宋体"/>
                <w:color w:val="auto"/>
                <w:highlight w:val="none"/>
              </w:rPr>
            </w:pPr>
            <w:r>
              <w:rPr>
                <w:rFonts w:hint="eastAsia" w:ascii="宋体" w:hAnsi="宋体"/>
                <w:color w:val="auto"/>
                <w:highlight w:val="none"/>
              </w:rPr>
              <w:t>1、不存</w:t>
            </w:r>
            <w:r>
              <w:rPr>
                <w:rFonts w:ascii="宋体" w:hAnsi="宋体"/>
                <w:color w:val="auto"/>
                <w:highlight w:val="none"/>
              </w:rPr>
              <w:t>在</w:t>
            </w:r>
            <w:r>
              <w:rPr>
                <w:rFonts w:hint="eastAsia" w:ascii="宋体" w:hAnsi="宋体"/>
                <w:color w:val="auto"/>
                <w:highlight w:val="none"/>
              </w:rPr>
              <w:t>投标人须知第1.4.3项的情形；</w:t>
            </w:r>
          </w:p>
          <w:p>
            <w:pPr>
              <w:spacing w:line="360" w:lineRule="auto"/>
              <w:ind w:firstLine="210" w:firstLineChars="100"/>
              <w:rPr>
                <w:rFonts w:ascii="宋体" w:hAnsi="宋体"/>
                <w:color w:val="auto"/>
                <w:highlight w:val="none"/>
              </w:rPr>
            </w:pPr>
            <w:r>
              <w:rPr>
                <w:rFonts w:hint="eastAsia" w:ascii="宋体" w:hAnsi="宋体"/>
                <w:color w:val="auto"/>
                <w:highlight w:val="none"/>
              </w:rPr>
              <w:t>2、近三年（自</w:t>
            </w:r>
            <w:bookmarkStart w:id="8" w:name="EBcd72796a59fa44bf94705b9f95e4fbc5"/>
            <w:r>
              <w:rPr>
                <w:rFonts w:hint="eastAsia" w:ascii="宋体" w:hAnsi="宋体"/>
                <w:color w:val="auto"/>
                <w:highlight w:val="none"/>
                <w:u w:val="single"/>
              </w:rPr>
              <w:t>201</w:t>
            </w:r>
            <w:bookmarkEnd w:id="8"/>
            <w:r>
              <w:rPr>
                <w:rFonts w:ascii="宋体" w:hAnsi="宋体"/>
                <w:color w:val="auto"/>
                <w:highlight w:val="none"/>
                <w:u w:val="single"/>
              </w:rPr>
              <w:t>8</w:t>
            </w:r>
            <w:r>
              <w:rPr>
                <w:rFonts w:hint="eastAsia" w:ascii="宋体" w:hAnsi="宋体"/>
                <w:color w:val="auto"/>
                <w:highlight w:val="none"/>
              </w:rPr>
              <w:t>年</w:t>
            </w:r>
            <w:r>
              <w:rPr>
                <w:rFonts w:ascii="宋体" w:hAnsi="宋体"/>
                <w:color w:val="auto"/>
                <w:highlight w:val="none"/>
                <w:u w:val="single"/>
              </w:rPr>
              <w:t>7</w:t>
            </w:r>
            <w:r>
              <w:rPr>
                <w:rFonts w:hint="eastAsia" w:ascii="宋体" w:hAnsi="宋体"/>
                <w:color w:val="auto"/>
                <w:highlight w:val="none"/>
              </w:rPr>
              <w:t>月</w:t>
            </w:r>
            <w:bookmarkStart w:id="9" w:name="EB7d378067d7044af785934a82ef8433c7"/>
            <w:r>
              <w:rPr>
                <w:rFonts w:hint="eastAsia" w:ascii="宋体" w:hAnsi="宋体"/>
                <w:color w:val="auto"/>
                <w:highlight w:val="none"/>
                <w:u w:val="single"/>
              </w:rPr>
              <w:t>1</w:t>
            </w:r>
            <w:bookmarkEnd w:id="9"/>
            <w:r>
              <w:rPr>
                <w:rFonts w:hint="eastAsia" w:ascii="宋体" w:hAnsi="宋体"/>
                <w:color w:val="auto"/>
                <w:highlight w:val="none"/>
              </w:rPr>
              <w:t>日以来），投标人无行贿犯罪行为；</w:t>
            </w:r>
          </w:p>
          <w:p>
            <w:pPr>
              <w:spacing w:line="360" w:lineRule="auto"/>
              <w:ind w:firstLine="210" w:firstLineChars="100"/>
              <w:rPr>
                <w:rFonts w:hint="eastAsia" w:ascii="宋体" w:hAnsi="宋体"/>
                <w:color w:val="auto"/>
                <w:szCs w:val="21"/>
                <w:highlight w:val="none"/>
              </w:rPr>
            </w:pPr>
          </w:p>
        </w:tc>
      </w:tr>
    </w:tbl>
    <w:p>
      <w:pPr>
        <w:wordWrap w:val="0"/>
        <w:spacing w:line="360" w:lineRule="auto"/>
        <w:rPr>
          <w:rFonts w:ascii="宋体" w:hAnsi="宋体"/>
          <w:color w:val="auto"/>
          <w:szCs w:val="21"/>
          <w:highlight w:val="none"/>
        </w:rPr>
      </w:pPr>
      <w:r>
        <w:rPr>
          <w:rFonts w:hint="eastAsia" w:ascii="宋体" w:hAnsi="宋体"/>
          <w:color w:val="auto"/>
          <w:highlight w:val="none"/>
        </w:rPr>
        <w:t>注：1、无行贿犯罪行为的认定：</w:t>
      </w:r>
      <w:bookmarkStart w:id="10" w:name="_Hlk83379242"/>
      <w:r>
        <w:rPr>
          <w:rFonts w:hint="eastAsia" w:ascii="宋体" w:hAnsi="宋体"/>
          <w:color w:val="auto"/>
          <w:highlight w:val="none"/>
        </w:rPr>
        <w:t>以中国裁判文书查询结果网页面显示内容为准，时间以法院判决书判决的日期为准。</w:t>
      </w:r>
      <w:r>
        <w:rPr>
          <w:color w:val="auto"/>
          <w:szCs w:val="21"/>
          <w:highlight w:val="none"/>
        </w:rPr>
        <w:t>投标人须</w:t>
      </w:r>
      <w:r>
        <w:rPr>
          <w:rFonts w:hint="eastAsia" w:ascii="宋体" w:hAnsi="宋体" w:cs="宋体"/>
          <w:color w:val="auto"/>
          <w:szCs w:val="21"/>
          <w:highlight w:val="none"/>
        </w:rPr>
        <w:t>提供</w:t>
      </w:r>
      <w:r>
        <w:rPr>
          <w:color w:val="auto"/>
          <w:szCs w:val="21"/>
          <w:highlight w:val="none"/>
        </w:rPr>
        <w:t>中国裁判文书网（http://wenshu.court.gov.cn/）</w:t>
      </w:r>
      <w:r>
        <w:rPr>
          <w:rFonts w:hint="eastAsia"/>
          <w:color w:val="auto"/>
          <w:szCs w:val="21"/>
          <w:highlight w:val="none"/>
        </w:rPr>
        <w:t>查询（输入投标人单位名称，</w:t>
      </w:r>
      <w:r>
        <w:rPr>
          <w:rFonts w:hint="eastAsia" w:ascii="宋体" w:hAnsi="宋体"/>
          <w:color w:val="auto"/>
          <w:szCs w:val="21"/>
          <w:highlight w:val="none"/>
        </w:rPr>
        <w:t>查询</w:t>
      </w:r>
      <w:r>
        <w:rPr>
          <w:rFonts w:hint="eastAsia"/>
          <w:color w:val="auto"/>
          <w:szCs w:val="21"/>
          <w:highlight w:val="none"/>
        </w:rPr>
        <w:t>贪污贿赂罪）结果</w:t>
      </w:r>
      <w:r>
        <w:rPr>
          <w:rFonts w:hint="eastAsia" w:ascii="宋体" w:hAnsi="宋体" w:cs="宋体"/>
          <w:color w:val="auto"/>
          <w:szCs w:val="21"/>
          <w:highlight w:val="none"/>
        </w:rPr>
        <w:t>网页截图并加盖投标人单位电子公章</w:t>
      </w:r>
      <w:r>
        <w:rPr>
          <w:rFonts w:hint="eastAsia" w:ascii="宋体" w:hAnsi="宋体"/>
          <w:color w:val="auto"/>
          <w:szCs w:val="21"/>
          <w:highlight w:val="none"/>
        </w:rPr>
        <w:t>。评标结果公示期间，招标人通过中国裁判文书网（http://wenshu.court.gov.cn/）按照招标文件约定对拟中标单位的行贿犯罪记录进行复核查询（时间以法院判决书判决日期为准）</w:t>
      </w:r>
      <w:bookmarkEnd w:id="10"/>
      <w:r>
        <w:rPr>
          <w:rFonts w:hint="eastAsia" w:ascii="宋体" w:hAnsi="宋体"/>
          <w:color w:val="auto"/>
          <w:szCs w:val="21"/>
          <w:highlight w:val="none"/>
        </w:rPr>
        <w:t>。</w:t>
      </w:r>
    </w:p>
    <w:p>
      <w:pPr>
        <w:wordWrap w:val="0"/>
        <w:spacing w:line="360" w:lineRule="auto"/>
        <w:rPr>
          <w:rFonts w:ascii="宋体" w:hAnsi="宋体"/>
          <w:color w:val="auto"/>
          <w:szCs w:val="21"/>
          <w:highlight w:val="none"/>
        </w:rPr>
      </w:pPr>
    </w:p>
    <w:p>
      <w:pPr>
        <w:wordWrap w:val="0"/>
        <w:spacing w:line="360" w:lineRule="auto"/>
        <w:rPr>
          <w:rFonts w:hint="eastAsia" w:ascii="宋体" w:hAnsi="宋体"/>
          <w:color w:val="auto"/>
          <w:szCs w:val="21"/>
          <w:highlight w:val="none"/>
        </w:rPr>
      </w:pPr>
      <w:r>
        <w:rPr>
          <w:rFonts w:ascii="宋体" w:hAnsi="宋体"/>
          <w:color w:val="auto"/>
          <w:szCs w:val="21"/>
          <w:highlight w:val="none"/>
        </w:rPr>
        <w:br w:type="page"/>
      </w:r>
    </w:p>
    <w:p>
      <w:pPr>
        <w:pStyle w:val="2"/>
        <w:jc w:val="center"/>
        <w:rPr>
          <w:rFonts w:ascii="宋体" w:hAnsi="宋体"/>
          <w:color w:val="auto"/>
          <w:highlight w:val="none"/>
        </w:rPr>
      </w:pPr>
      <w:bookmarkStart w:id="11" w:name="_Toc83398499"/>
      <w:r>
        <w:rPr>
          <w:rFonts w:hint="eastAsia" w:ascii="宋体" w:hAnsi="宋体"/>
          <w:color w:val="auto"/>
          <w:highlight w:val="none"/>
        </w:rPr>
        <w:t>附录5 资格审查条件（项目经理和项目总工最低要求）</w:t>
      </w:r>
      <w:bookmarkEnd w:id="11"/>
    </w:p>
    <w:tbl>
      <w:tblPr>
        <w:tblStyle w:val="4"/>
        <w:tblpPr w:leftFromText="180" w:rightFromText="180" w:vertAnchor="text" w:horzAnchor="margin" w:tblpXSpec="center" w:tblpY="4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39"/>
        <w:gridCol w:w="1120"/>
        <w:gridCol w:w="842"/>
        <w:gridCol w:w="54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668" w:type="pc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标段</w:t>
            </w:r>
          </w:p>
        </w:tc>
        <w:tc>
          <w:tcPr>
            <w:tcW w:w="657" w:type="pc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人员</w:t>
            </w:r>
          </w:p>
        </w:tc>
        <w:tc>
          <w:tcPr>
            <w:tcW w:w="494" w:type="pc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数量</w:t>
            </w:r>
          </w:p>
        </w:tc>
        <w:tc>
          <w:tcPr>
            <w:tcW w:w="3180" w:type="pc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3" w:hRule="atLeast"/>
        </w:trPr>
        <w:tc>
          <w:tcPr>
            <w:tcW w:w="668" w:type="pct"/>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第TJ0</w:t>
            </w:r>
            <w:r>
              <w:rPr>
                <w:rFonts w:ascii="宋体" w:hAnsi="宋体"/>
                <w:color w:val="auto"/>
                <w:szCs w:val="21"/>
                <w:highlight w:val="none"/>
              </w:rPr>
              <w:t>1</w:t>
            </w:r>
            <w:r>
              <w:rPr>
                <w:rFonts w:hint="eastAsia" w:ascii="宋体" w:hAnsi="宋体"/>
                <w:color w:val="auto"/>
                <w:szCs w:val="21"/>
                <w:highlight w:val="none"/>
              </w:rPr>
              <w:t>标段～第TJ0</w:t>
            </w:r>
            <w:r>
              <w:rPr>
                <w:rFonts w:ascii="宋体" w:hAnsi="宋体"/>
                <w:color w:val="auto"/>
                <w:szCs w:val="21"/>
                <w:highlight w:val="none"/>
              </w:rPr>
              <w:t>5</w:t>
            </w:r>
            <w:r>
              <w:rPr>
                <w:rFonts w:hint="eastAsia" w:ascii="宋体" w:hAnsi="宋体"/>
                <w:color w:val="auto"/>
                <w:szCs w:val="21"/>
                <w:highlight w:val="none"/>
              </w:rPr>
              <w:t>标段</w:t>
            </w:r>
          </w:p>
        </w:tc>
        <w:tc>
          <w:tcPr>
            <w:tcW w:w="657"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项目经理</w:t>
            </w:r>
          </w:p>
        </w:tc>
        <w:tc>
          <w:tcPr>
            <w:tcW w:w="494" w:type="pct"/>
            <w:noWrap w:val="0"/>
            <w:vAlign w:val="center"/>
          </w:tcPr>
          <w:p>
            <w:pPr>
              <w:spacing w:line="360" w:lineRule="auto"/>
              <w:jc w:val="center"/>
              <w:rPr>
                <w:rFonts w:hint="eastAsia" w:ascii="宋体" w:hAnsi="宋体"/>
                <w:color w:val="auto"/>
                <w:szCs w:val="21"/>
                <w:highlight w:val="none"/>
              </w:rPr>
            </w:pPr>
            <w:bookmarkStart w:id="12" w:name="_GoBack"/>
            <w:bookmarkEnd w:id="12"/>
            <w:r>
              <w:rPr>
                <w:rFonts w:hint="eastAsia" w:ascii="宋体" w:hAnsi="宋体"/>
                <w:color w:val="auto"/>
                <w:szCs w:val="21"/>
                <w:highlight w:val="none"/>
              </w:rPr>
              <w:t>1</w:t>
            </w:r>
          </w:p>
        </w:tc>
        <w:tc>
          <w:tcPr>
            <w:tcW w:w="318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color w:val="auto"/>
                <w:highlight w:val="none"/>
              </w:rPr>
            </w:pPr>
            <w:r>
              <w:rPr>
                <w:rFonts w:hint="eastAsia"/>
                <w:color w:val="auto"/>
                <w:highlight w:val="none"/>
              </w:rPr>
              <w:t>1、</w:t>
            </w:r>
            <w:r>
              <w:rPr>
                <w:rFonts w:hint="eastAsia" w:ascii="宋体" w:hAnsi="宋体"/>
                <w:color w:val="auto"/>
                <w:kern w:val="0"/>
                <w:szCs w:val="21"/>
                <w:highlight w:val="none"/>
              </w:rPr>
              <w:t>担任过新（改、扩）建高速公路施工的项目经理（或项目总工），</w:t>
            </w:r>
            <w:r>
              <w:rPr>
                <w:rFonts w:hint="eastAsia" w:ascii="宋体" w:hAnsi="宋体"/>
                <w:color w:val="auto"/>
                <w:szCs w:val="21"/>
                <w:highlight w:val="none"/>
              </w:rPr>
              <w:t>有公路工程专业一级（不含经延续注册的临时执业证书）建造师注册证书，</w:t>
            </w:r>
            <w:r>
              <w:rPr>
                <w:rFonts w:hint="eastAsia" w:ascii="宋体" w:hAnsi="宋体"/>
                <w:color w:val="auto"/>
                <w:highlight w:val="none"/>
              </w:rPr>
              <w:t>近三年（自</w:t>
            </w:r>
            <w:r>
              <w:rPr>
                <w:rFonts w:hint="eastAsia" w:ascii="宋体" w:hAnsi="宋体"/>
                <w:color w:val="auto"/>
                <w:highlight w:val="none"/>
                <w:u w:val="single"/>
              </w:rPr>
              <w:t>201</w:t>
            </w:r>
            <w:r>
              <w:rPr>
                <w:rFonts w:ascii="宋体" w:hAnsi="宋体"/>
                <w:color w:val="auto"/>
                <w:highlight w:val="none"/>
                <w:u w:val="single"/>
              </w:rPr>
              <w:t>8</w:t>
            </w:r>
            <w:r>
              <w:rPr>
                <w:rFonts w:hint="eastAsia" w:ascii="宋体" w:hAnsi="宋体"/>
                <w:color w:val="auto"/>
                <w:highlight w:val="none"/>
              </w:rPr>
              <w:t>年</w:t>
            </w:r>
            <w:r>
              <w:rPr>
                <w:rFonts w:ascii="宋体" w:hAnsi="宋体"/>
                <w:color w:val="auto"/>
                <w:highlight w:val="none"/>
                <w:u w:val="single"/>
              </w:rPr>
              <w:t>7</w:t>
            </w:r>
            <w:r>
              <w:rPr>
                <w:rFonts w:hint="eastAsia" w:ascii="宋体" w:hAnsi="宋体"/>
                <w:color w:val="auto"/>
                <w:highlight w:val="none"/>
              </w:rPr>
              <w:t>月</w:t>
            </w:r>
            <w:r>
              <w:rPr>
                <w:rFonts w:hint="eastAsia" w:ascii="宋体" w:hAnsi="宋体"/>
                <w:color w:val="auto"/>
                <w:highlight w:val="none"/>
                <w:u w:val="single"/>
              </w:rPr>
              <w:t>1</w:t>
            </w:r>
            <w:r>
              <w:rPr>
                <w:rFonts w:hint="eastAsia" w:ascii="宋体" w:hAnsi="宋体"/>
                <w:color w:val="auto"/>
                <w:highlight w:val="none"/>
              </w:rPr>
              <w:t>日以来）拟委任项目经理无</w:t>
            </w:r>
            <w:r>
              <w:rPr>
                <w:rFonts w:hint="eastAsia" w:ascii="宋体" w:hAnsi="宋体"/>
                <w:color w:val="auto"/>
                <w:szCs w:val="21"/>
                <w:highlight w:val="none"/>
              </w:rPr>
              <w:t>行贿犯罪行为，高级工程师技术职称；</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hint="eastAsia" w:ascii="宋体" w:hAnsi="宋体"/>
                <w:color w:val="auto"/>
                <w:highlight w:val="none"/>
              </w:rPr>
              <w:t>有有</w:t>
            </w:r>
            <w:r>
              <w:rPr>
                <w:rFonts w:ascii="宋体" w:hAnsi="宋体"/>
                <w:color w:val="auto"/>
                <w:highlight w:val="none"/>
              </w:rPr>
              <w:t>效期内的施工企业</w:t>
            </w:r>
            <w:r>
              <w:rPr>
                <w:rFonts w:hint="eastAsia" w:ascii="宋体" w:hAnsi="宋体"/>
                <w:color w:val="auto"/>
                <w:highlight w:val="none"/>
              </w:rPr>
              <w:t>项目负责人安全生产考核合格证书（B类）</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color w:val="auto"/>
                <w:szCs w:val="21"/>
                <w:highlight w:val="none"/>
              </w:rPr>
            </w:pPr>
            <w:r>
              <w:rPr>
                <w:rFonts w:ascii="宋体" w:hAnsi="宋体"/>
                <w:color w:val="auto"/>
                <w:szCs w:val="21"/>
                <w:highlight w:val="none"/>
              </w:rPr>
              <w:t>3</w:t>
            </w:r>
            <w:r>
              <w:rPr>
                <w:rFonts w:hint="eastAsia" w:ascii="宋体" w:hAnsi="宋体"/>
                <w:color w:val="auto"/>
                <w:highlight w:val="none"/>
              </w:rPr>
              <w:t>、拟委任项目经理未在其他在建合同工程中任项目经理</w:t>
            </w:r>
            <w:r>
              <w:rPr>
                <w:rFonts w:ascii="宋体" w:hAnsi="宋体"/>
                <w:color w:val="auto"/>
                <w:highlight w:val="none"/>
              </w:rPr>
              <w:t xml:space="preserve"> </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trPr>
        <w:tc>
          <w:tcPr>
            <w:tcW w:w="668" w:type="pct"/>
            <w:vMerge w:val="continue"/>
            <w:noWrap w:val="0"/>
            <w:vAlign w:val="center"/>
          </w:tcPr>
          <w:p>
            <w:pPr>
              <w:spacing w:line="360" w:lineRule="auto"/>
              <w:jc w:val="center"/>
              <w:rPr>
                <w:rFonts w:hint="eastAsia" w:ascii="宋体" w:hAnsi="宋体"/>
                <w:color w:val="auto"/>
                <w:szCs w:val="21"/>
                <w:highlight w:val="none"/>
              </w:rPr>
            </w:pPr>
          </w:p>
        </w:tc>
        <w:tc>
          <w:tcPr>
            <w:tcW w:w="657"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项目总工</w:t>
            </w:r>
          </w:p>
        </w:tc>
        <w:tc>
          <w:tcPr>
            <w:tcW w:w="494"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3180" w:type="pct"/>
            <w:noWrap w:val="0"/>
            <w:vAlign w:val="center"/>
          </w:tcPr>
          <w:p>
            <w:pPr>
              <w:spacing w:line="360" w:lineRule="auto"/>
              <w:ind w:firstLine="420" w:firstLineChars="200"/>
              <w:rPr>
                <w:rFonts w:hint="eastAsia" w:ascii="宋体" w:hAnsi="宋体"/>
                <w:color w:val="auto"/>
                <w:highlight w:val="none"/>
              </w:rPr>
            </w:pPr>
            <w:r>
              <w:rPr>
                <w:rFonts w:hint="eastAsia" w:ascii="宋体" w:hAnsi="宋体"/>
                <w:color w:val="auto"/>
                <w:kern w:val="0"/>
                <w:szCs w:val="21"/>
                <w:highlight w:val="none"/>
              </w:rPr>
              <w:t>有高级工程师及以上技术职称，并有有效期内的建筑施工企业项目负责人安全生产考核合格证书（B类）。</w:t>
            </w: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注：1</w:t>
      </w:r>
      <w:r>
        <w:rPr>
          <w:rFonts w:ascii="宋体" w:hAnsi="宋体"/>
          <w:color w:val="auto"/>
          <w:szCs w:val="21"/>
          <w:highlight w:val="none"/>
        </w:rPr>
        <w:t xml:space="preserve">. </w:t>
      </w:r>
      <w:r>
        <w:rPr>
          <w:rFonts w:hint="eastAsia" w:ascii="宋体" w:hAnsi="宋体"/>
          <w:color w:val="auto"/>
          <w:szCs w:val="21"/>
          <w:highlight w:val="none"/>
        </w:rPr>
        <w:t>拟委任的项目经理有行贿犯罪行为的认定：以中国裁判文书网页面显示内容为准，时间以法院判决书判决的日期为准。投标人须提供中国裁判文书网（http://wenshu.court.gov.cn/）查询（输入投标人拟委任项目经理姓名，查询贪污贿赂罪）结果网页截图并加盖投标人单位电子公章。评标结果公示期间，招标人通过中国裁判文书网（http://wenshu.court.gov.cn/）按照招标文件约定对中标单位拟委任项目经理的行贿犯罪记录进行复核查询（时间以法院判决书判决日期为准）。</w:t>
      </w:r>
    </w:p>
    <w:p>
      <w:pPr>
        <w:ind w:firstLine="420" w:firstLineChars="200"/>
        <w:rPr>
          <w:rFonts w:hint="eastAsia" w:ascii="宋体" w:hAnsi="宋体"/>
          <w:color w:val="auto"/>
          <w:szCs w:val="21"/>
          <w:highlight w:val="none"/>
        </w:rPr>
      </w:pPr>
      <w:r>
        <w:rPr>
          <w:rFonts w:hint="eastAsia" w:ascii="宋体" w:hAnsi="宋体"/>
          <w:color w:val="auto"/>
          <w:szCs w:val="21"/>
          <w:highlight w:val="none"/>
        </w:rPr>
        <w:t>2. 在建合同工程的开始时间为合同工程中标通知书发出之日（不通过招标方式的，开始时间为合同签订之日），结束时间为该合同工程通过交工验收或合同解除之日。</w:t>
      </w:r>
    </w:p>
    <w:p>
      <w:pPr>
        <w:ind w:firstLine="420" w:firstLineChars="200"/>
        <w:rPr>
          <w:rFonts w:hint="eastAsia" w:ascii="宋体" w:hAnsi="宋体"/>
          <w:color w:val="auto"/>
          <w:szCs w:val="21"/>
          <w:highlight w:val="none"/>
        </w:rPr>
      </w:pPr>
      <w:r>
        <w:rPr>
          <w:rFonts w:hint="eastAsia" w:ascii="宋体" w:hAnsi="宋体"/>
          <w:color w:val="auto"/>
          <w:szCs w:val="21"/>
          <w:highlight w:val="none"/>
        </w:rPr>
        <w:t>3. 拟委任项目经理是否有“在建合同工程”按以下原则认定：</w:t>
      </w:r>
    </w:p>
    <w:p>
      <w:pPr>
        <w:ind w:firstLine="420" w:firstLineChars="200"/>
        <w:rPr>
          <w:rFonts w:hint="eastAsia" w:ascii="宋体" w:hAnsi="宋体"/>
          <w:color w:val="auto"/>
          <w:szCs w:val="21"/>
          <w:highlight w:val="none"/>
        </w:rPr>
      </w:pPr>
      <w:r>
        <w:rPr>
          <w:rFonts w:hint="eastAsia" w:ascii="宋体" w:hAnsi="宋体"/>
          <w:color w:val="auto"/>
          <w:szCs w:val="21"/>
          <w:highlight w:val="none"/>
        </w:rPr>
        <w:t>(1).若合同协议书尚未签订，则中标通知书中明确的项目经理和备选项目经理均视为有“在建合同工程”；</w:t>
      </w:r>
    </w:p>
    <w:p>
      <w:pPr>
        <w:ind w:firstLine="420" w:firstLineChars="200"/>
        <w:rPr>
          <w:rFonts w:hint="eastAsia" w:ascii="宋体" w:hAnsi="宋体"/>
          <w:color w:val="auto"/>
          <w:szCs w:val="21"/>
          <w:highlight w:val="none"/>
        </w:rPr>
      </w:pPr>
      <w:r>
        <w:rPr>
          <w:rFonts w:hint="eastAsia" w:ascii="宋体" w:hAnsi="宋体"/>
          <w:color w:val="auto"/>
          <w:szCs w:val="21"/>
          <w:highlight w:val="none"/>
        </w:rPr>
        <w:t>(2).若合同协议书已签订的，则仅合同协议书中明确的项目经理视为有“在建合同工程”。</w:t>
      </w:r>
    </w:p>
    <w:p>
      <w:pPr>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(3).在建合同工程未通过验收或合同解除前，合同协议书中明确的项目经理已经更换的，则现任项目经理视为有“在建合同工程”，同时应在投标文件中附项目发包人的同意更换证明材料，否则更换前后的项目经理均视为有“在建合同工程”。 </w:t>
      </w:r>
    </w:p>
    <w:p>
      <w:pPr>
        <w:ind w:firstLine="420" w:firstLineChars="200"/>
        <w:rPr>
          <w:rFonts w:hint="eastAsia" w:ascii="宋体" w:hAnsi="宋体"/>
          <w:color w:val="auto"/>
          <w:szCs w:val="21"/>
          <w:highlight w:val="none"/>
        </w:rPr>
      </w:pPr>
      <w:r>
        <w:rPr>
          <w:rFonts w:hint="eastAsia" w:ascii="宋体" w:hAnsi="宋体"/>
          <w:color w:val="auto"/>
          <w:szCs w:val="21"/>
          <w:highlight w:val="none"/>
        </w:rPr>
        <w:t>4. “在建合同工程”范围：包括在中华人民共和国境内所有建设工程，不受地域、行业和投资性质的限制。</w:t>
      </w:r>
    </w:p>
    <w:p>
      <w:pPr>
        <w:ind w:firstLine="420" w:firstLineChars="200"/>
        <w:rPr>
          <w:rFonts w:ascii="宋体" w:hAnsi="宋体"/>
          <w:color w:val="auto"/>
          <w:szCs w:val="21"/>
          <w:highlight w:val="none"/>
        </w:rPr>
      </w:pPr>
      <w:r>
        <w:rPr>
          <w:rFonts w:hint="eastAsia" w:ascii="宋体" w:hAnsi="宋体"/>
          <w:color w:val="auto"/>
          <w:szCs w:val="21"/>
          <w:highlight w:val="none"/>
        </w:rPr>
        <w:t>5. 投</w:t>
      </w:r>
      <w:r>
        <w:rPr>
          <w:rFonts w:ascii="宋体" w:hAnsi="宋体"/>
          <w:color w:val="auto"/>
          <w:szCs w:val="21"/>
          <w:highlight w:val="none"/>
        </w:rPr>
        <w:t>标人主要管理人员中项目经理的职称证信息、</w:t>
      </w:r>
      <w:r>
        <w:rPr>
          <w:rFonts w:hint="eastAsia" w:ascii="宋体" w:hAnsi="宋体"/>
          <w:color w:val="auto"/>
          <w:szCs w:val="21"/>
          <w:highlight w:val="none"/>
        </w:rPr>
        <w:t>建</w:t>
      </w:r>
      <w:r>
        <w:rPr>
          <w:rFonts w:ascii="宋体" w:hAnsi="宋体"/>
          <w:color w:val="auto"/>
          <w:szCs w:val="21"/>
          <w:highlight w:val="none"/>
        </w:rPr>
        <w:t>造师注册证书信息、安全生产考核合格证书信息以及项目总工的职称证信息、安全生产考核合</w:t>
      </w:r>
      <w:r>
        <w:rPr>
          <w:rFonts w:hint="eastAsia" w:ascii="宋体" w:hAnsi="宋体"/>
          <w:color w:val="auto"/>
          <w:szCs w:val="21"/>
          <w:highlight w:val="none"/>
        </w:rPr>
        <w:t>格</w:t>
      </w:r>
      <w:r>
        <w:rPr>
          <w:rFonts w:ascii="宋体" w:hAnsi="宋体"/>
          <w:color w:val="auto"/>
          <w:szCs w:val="21"/>
          <w:highlight w:val="none"/>
        </w:rPr>
        <w:t>证书信息</w:t>
      </w:r>
      <w:r>
        <w:rPr>
          <w:rFonts w:hint="eastAsia" w:ascii="宋体" w:hAnsi="宋体"/>
          <w:color w:val="auto"/>
          <w:szCs w:val="21"/>
          <w:highlight w:val="none"/>
        </w:rPr>
        <w:t>在</w:t>
      </w:r>
      <w:r>
        <w:rPr>
          <w:rFonts w:ascii="宋体" w:hAnsi="宋体"/>
          <w:color w:val="auto"/>
          <w:szCs w:val="21"/>
          <w:highlight w:val="none"/>
        </w:rPr>
        <w:t>浙江省交通运输厅建设市场诚信信息系统中已</w:t>
      </w:r>
      <w:r>
        <w:rPr>
          <w:rFonts w:hint="eastAsia" w:ascii="宋体" w:hAnsi="宋体"/>
          <w:color w:val="auto"/>
          <w:szCs w:val="21"/>
          <w:highlight w:val="none"/>
        </w:rPr>
        <w:t>全部</w:t>
      </w:r>
      <w:r>
        <w:rPr>
          <w:rFonts w:ascii="宋体" w:hAnsi="宋体"/>
          <w:color w:val="auto"/>
          <w:szCs w:val="21"/>
          <w:highlight w:val="none"/>
        </w:rPr>
        <w:t>公开的，可在诚信信息系统一览表后提供含有该系统水印的《主要人员信息一览表》</w:t>
      </w:r>
      <w:r>
        <w:rPr>
          <w:rFonts w:hint="eastAsia" w:ascii="宋体" w:hAnsi="宋体"/>
          <w:color w:val="auto"/>
          <w:szCs w:val="21"/>
          <w:highlight w:val="none"/>
        </w:rPr>
        <w:t>截图</w:t>
      </w:r>
      <w:r>
        <w:rPr>
          <w:rFonts w:ascii="宋体" w:hAnsi="宋体"/>
          <w:color w:val="auto"/>
          <w:szCs w:val="21"/>
          <w:highlight w:val="none"/>
        </w:rPr>
        <w:t>。</w:t>
      </w:r>
    </w:p>
    <w:p>
      <w:pPr>
        <w:ind w:firstLine="420" w:firstLineChars="200"/>
        <w:rPr>
          <w:rFonts w:hint="eastAsia"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w:t>
      </w:r>
      <w:r>
        <w:rPr>
          <w:rFonts w:hint="eastAsia"/>
          <w:color w:val="auto"/>
          <w:highlight w:val="none"/>
        </w:rPr>
        <w:t xml:space="preserve"> </w:t>
      </w:r>
      <w:r>
        <w:rPr>
          <w:rFonts w:hint="eastAsia" w:ascii="宋体" w:hAnsi="宋体"/>
          <w:color w:val="auto"/>
          <w:szCs w:val="21"/>
          <w:highlight w:val="none"/>
        </w:rPr>
        <w:t>项目经理担任类似项目的项目经理（或项目总工）的相关业绩证明材料（中标通知书或合同协议书或质量证明文件）的</w:t>
      </w:r>
      <w:r>
        <w:rPr>
          <w:rFonts w:hint="eastAsia" w:ascii="宋体" w:hAnsi="宋体"/>
          <w:color w:val="auto"/>
          <w:szCs w:val="21"/>
          <w:highlight w:val="none"/>
          <w:lang w:val="en-US" w:eastAsia="zh-CN"/>
        </w:rPr>
        <w:t>复制件</w:t>
      </w:r>
      <w:r>
        <w:rPr>
          <w:rFonts w:hint="eastAsia" w:ascii="宋体" w:hAnsi="宋体"/>
          <w:color w:val="auto"/>
          <w:szCs w:val="21"/>
          <w:highlight w:val="none"/>
        </w:rPr>
        <w:t>，如上述资料中均未体现人员姓名、任职及业绩规模，则还须提供项目质量监督部门或项目所在地设区市行业主管部门出具的证明材料。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07D9E"/>
    <w:rsid w:val="11FB47A5"/>
    <w:rsid w:val="3DE54DEE"/>
    <w:rsid w:val="7CB0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3"/>
    <w:qFormat/>
    <w:uiPriority w:val="0"/>
    <w:pPr>
      <w:keepNext/>
      <w:keepLines/>
      <w:spacing w:line="360" w:lineRule="auto"/>
      <w:outlineLvl w:val="2"/>
    </w:pPr>
    <w:rPr>
      <w:b/>
      <w:bCs/>
      <w:sz w:val="24"/>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2021-10-19T05:38:00Z</dcterms:created>
  <dc:creator>NTKO</dc:creator>
  <cp:lastModifiedBy>浙江远大工程咨询有限公司</cp:lastModifiedBy>
  <dcterms:modified xsi:type="dcterms:W3CDTF">2021-10-19T11:27:35Z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5F9FF44B82924B8AAFAE2907805C4D5F</vt:lpwstr>
  </property>
</Properties>
</file>