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1" w:rsidRPr="00CD2227" w:rsidRDefault="00954CF1" w:rsidP="00954CF1">
      <w:pPr>
        <w:spacing w:line="0" w:lineRule="atLeast"/>
        <w:jc w:val="center"/>
        <w:rPr>
          <w:rFonts w:ascii="方正小标宋简体" w:eastAsia="方正小标宋简体"/>
          <w:sz w:val="44"/>
        </w:rPr>
      </w:pPr>
      <w:r w:rsidRPr="0083370A">
        <w:rPr>
          <w:rFonts w:ascii="方正小标宋简体" w:eastAsia="方正小标宋简体" w:hint="eastAsia"/>
          <w:color w:val="000000" w:themeColor="text1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</w:rPr>
        <w:t>关于进一步加强全省交通建设工程安全生产管理工作的若干规定</w:t>
      </w:r>
      <w:r w:rsidRPr="0083370A">
        <w:rPr>
          <w:rFonts w:ascii="方正小标宋简体" w:eastAsia="方正小标宋简体" w:hint="eastAsia"/>
          <w:color w:val="000000" w:themeColor="text1"/>
          <w:sz w:val="44"/>
          <w:szCs w:val="44"/>
        </w:rPr>
        <w:t>》</w:t>
      </w:r>
    </w:p>
    <w:p w:rsidR="00954CF1" w:rsidRDefault="00954CF1" w:rsidP="00954CF1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 w:rsidRPr="0083370A">
        <w:rPr>
          <w:rFonts w:ascii="方正小标宋简体" w:eastAsia="方正小标宋简体" w:hint="eastAsia"/>
          <w:color w:val="000000" w:themeColor="text1"/>
          <w:sz w:val="44"/>
          <w:szCs w:val="44"/>
        </w:rPr>
        <w:t>征求意见采纳情况</w:t>
      </w:r>
    </w:p>
    <w:bookmarkEnd w:id="0"/>
    <w:p w:rsidR="00954CF1" w:rsidRPr="009222A5" w:rsidRDefault="00954CF1" w:rsidP="00954CF1">
      <w:pPr>
        <w:rPr>
          <w:color w:val="000000" w:themeColor="text1"/>
        </w:rPr>
      </w:pPr>
    </w:p>
    <w:tbl>
      <w:tblPr>
        <w:tblStyle w:val="a7"/>
        <w:tblW w:w="0" w:type="auto"/>
        <w:jc w:val="center"/>
        <w:tblInd w:w="-264" w:type="dxa"/>
        <w:tblLook w:val="04A0" w:firstRow="1" w:lastRow="0" w:firstColumn="1" w:lastColumn="0" w:noHBand="0" w:noVBand="1"/>
      </w:tblPr>
      <w:tblGrid>
        <w:gridCol w:w="807"/>
        <w:gridCol w:w="5387"/>
        <w:gridCol w:w="1417"/>
        <w:gridCol w:w="6419"/>
      </w:tblGrid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 w:rsidRPr="00954CF1"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 w:rsidRPr="00954CF1"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征求意见</w:t>
            </w:r>
          </w:p>
        </w:tc>
        <w:tc>
          <w:tcPr>
            <w:tcW w:w="1417" w:type="dxa"/>
            <w:vAlign w:val="center"/>
          </w:tcPr>
          <w:p w:rsidR="002D6C14" w:rsidRDefault="002D6C14" w:rsidP="00954CF1">
            <w:pPr>
              <w:spacing w:line="4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 w:rsidRPr="00954CF1"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采纳</w:t>
            </w:r>
          </w:p>
          <w:p w:rsidR="002D6C14" w:rsidRPr="00954CF1" w:rsidRDefault="002D6C14" w:rsidP="00954CF1">
            <w:pPr>
              <w:spacing w:line="4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 w:rsidRPr="00954CF1"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与否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4"/>
              </w:rPr>
            </w:pPr>
            <w:r w:rsidRPr="00954CF1">
              <w:rPr>
                <w:rFonts w:ascii="黑体" w:eastAsia="黑体" w:hAnsi="黑体" w:hint="eastAsia"/>
                <w:color w:val="000000" w:themeColor="text1"/>
                <w:sz w:val="28"/>
                <w:szCs w:val="24"/>
              </w:rPr>
              <w:t>修改情况（或不采纳的理由）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第四条 建议将“督促落实风险管控和隐患治理”中“督促”删去。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原文调整为“组织施工安全风险辨识和落实管控措施、开展施工安全生产检查和隐患治理”。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第四条 建议将“技术负责人履行安全生产技术决策和指挥权”中的“指挥权”删去。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原文删去“技术负责人履行安全生产技术决策和指挥权”。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第五条 专职安全生产管理人员</w:t>
            </w:r>
            <w:proofErr w:type="gramStart"/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配备跟</w:t>
            </w:r>
            <w:proofErr w:type="gramEnd"/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《公路水运工程安全生产监督管理办法》（交通部令2017年25号）规定有一定矛盾，建议斟酌。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原文调整为“按照年度施工产值配备”，并补充中标合同价款与年度施工产值相差较大、作业面分布较广与专业技术要求等情形的人员配备要求。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第八条 建议将“</w:t>
            </w:r>
            <w:r w:rsidRPr="00954CF1">
              <w:rPr>
                <w:rFonts w:ascii="仿宋_GB2312" w:eastAsia="仿宋_GB2312" w:hint="eastAsia"/>
                <w:color w:val="000000"/>
                <w:sz w:val="28"/>
                <w:szCs w:val="24"/>
              </w:rPr>
              <w:t>分类分级建立重大隐患清单</w:t>
            </w: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”调整为“分类分级安全事故隐患清单”。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原文调整为“分类分级安全事故隐患清单”。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5387" w:type="dxa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第十三条 建议增加“</w:t>
            </w:r>
            <w:r w:rsidRPr="00954CF1">
              <w:rPr>
                <w:rFonts w:ascii="仿宋_GB2312" w:eastAsia="仿宋_GB2312" w:hint="eastAsia"/>
                <w:color w:val="000000"/>
                <w:sz w:val="28"/>
                <w:szCs w:val="24"/>
              </w:rPr>
              <w:t>如确需在夜间进行作业，需配备足够照明设施，并制定夜间施工专项方案”。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不采纳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夜间施工要求在规范中已有规定，本规定不再重复相关内容。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lastRenderedPageBreak/>
              <w:t>6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第十六条 建议调整为建设单位应当委托第三</w:t>
            </w:r>
            <w:proofErr w:type="gramStart"/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方专业</w:t>
            </w:r>
            <w:proofErr w:type="gramEnd"/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机构每半年开展一次特种设备和大型设备的专项检查。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不采纳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为加强特种设备和大型设备安全管理，确保成效，半年一次频率过低。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第二十一条 建议将“且存在明显过失的监理单位年度信用评价直接降为D级”调整为“负有主要监理责任的监理单位年度信用评价直接降为D级”。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部分采纳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原文修改为“</w:t>
            </w: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  <w:u w:val="single"/>
              </w:rPr>
              <w:t>负有主要责任</w:t>
            </w: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的监理单位年度信用评价确定为D级”。</w:t>
            </w:r>
          </w:p>
        </w:tc>
      </w:tr>
      <w:tr w:rsidR="002D6C14" w:rsidRPr="007A7432" w:rsidTr="002D6C14">
        <w:trPr>
          <w:jc w:val="center"/>
        </w:trPr>
        <w:tc>
          <w:tcPr>
            <w:tcW w:w="80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5387" w:type="dxa"/>
          </w:tcPr>
          <w:p w:rsidR="002D6C14" w:rsidRPr="00954CF1" w:rsidRDefault="002D6C14" w:rsidP="00954CF1">
            <w:pPr>
              <w:spacing w:line="46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 xml:space="preserve">第二十一条 </w:t>
            </w:r>
            <w:r w:rsidRPr="00954CF1">
              <w:rPr>
                <w:rFonts w:ascii="仿宋_GB2312" w:eastAsia="仿宋_GB2312" w:hint="eastAsia"/>
                <w:color w:val="000000"/>
                <w:sz w:val="28"/>
                <w:szCs w:val="24"/>
              </w:rPr>
              <w:t>建议是否可根据事故等级对信用评价等级进行逐级降级</w:t>
            </w: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2D6C14" w:rsidRPr="00954CF1" w:rsidRDefault="002D6C14" w:rsidP="00954CF1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不采纳</w:t>
            </w:r>
          </w:p>
        </w:tc>
        <w:tc>
          <w:tcPr>
            <w:tcW w:w="6419" w:type="dxa"/>
            <w:vAlign w:val="center"/>
          </w:tcPr>
          <w:p w:rsidR="002D6C14" w:rsidRPr="00954CF1" w:rsidRDefault="002D6C14" w:rsidP="00954CF1">
            <w:pPr>
              <w:spacing w:line="460" w:lineRule="exact"/>
              <w:rPr>
                <w:rFonts w:ascii="仿宋_GB2312" w:eastAsia="仿宋_GB2312"/>
                <w:color w:val="000000" w:themeColor="text1"/>
                <w:sz w:val="28"/>
                <w:szCs w:val="24"/>
              </w:rPr>
            </w:pPr>
            <w:r w:rsidRPr="00954CF1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加强事故责任追究，对发生事故单位加大处罚力度。</w:t>
            </w:r>
          </w:p>
        </w:tc>
      </w:tr>
    </w:tbl>
    <w:p w:rsidR="00954CF1" w:rsidRPr="007A7432" w:rsidRDefault="00954CF1" w:rsidP="00954CF1">
      <w:pPr>
        <w:jc w:val="center"/>
        <w:rPr>
          <w:color w:val="000000" w:themeColor="text1"/>
        </w:rPr>
      </w:pPr>
    </w:p>
    <w:p w:rsidR="00773583" w:rsidRDefault="00773583"/>
    <w:p w:rsidR="00773583" w:rsidRPr="0080765E" w:rsidRDefault="00773583"/>
    <w:sectPr w:rsidR="00773583" w:rsidRPr="0080765E" w:rsidSect="005970B6">
      <w:footerReference w:type="default" r:id="rId9"/>
      <w:pgSz w:w="16838" w:h="11906" w:orient="landscape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EA" w:rsidRDefault="00F12CEA" w:rsidP="00246E0C">
      <w:r>
        <w:separator/>
      </w:r>
    </w:p>
  </w:endnote>
  <w:endnote w:type="continuationSeparator" w:id="0">
    <w:p w:rsidR="00F12CEA" w:rsidRDefault="00F12CEA" w:rsidP="002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720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F61F2" w:rsidRPr="009F61F2" w:rsidRDefault="00CB150E">
        <w:pPr>
          <w:pStyle w:val="a4"/>
          <w:jc w:val="center"/>
          <w:rPr>
            <w:rFonts w:ascii="Times New Roman" w:hAnsi="Times New Roman"/>
            <w:sz w:val="28"/>
          </w:rPr>
        </w:pPr>
        <w:r w:rsidRPr="009F61F2">
          <w:rPr>
            <w:rFonts w:ascii="Times New Roman" w:hAnsi="Times New Roman"/>
            <w:sz w:val="28"/>
          </w:rPr>
          <w:fldChar w:fldCharType="begin"/>
        </w:r>
        <w:r w:rsidR="009F61F2" w:rsidRPr="009F61F2">
          <w:rPr>
            <w:rFonts w:ascii="Times New Roman" w:hAnsi="Times New Roman"/>
            <w:sz w:val="28"/>
          </w:rPr>
          <w:instrText xml:space="preserve"> PAGE   \* MERGEFORMAT </w:instrText>
        </w:r>
        <w:r w:rsidRPr="009F61F2">
          <w:rPr>
            <w:rFonts w:ascii="Times New Roman" w:hAnsi="Times New Roman"/>
            <w:sz w:val="28"/>
          </w:rPr>
          <w:fldChar w:fldCharType="separate"/>
        </w:r>
        <w:r w:rsidR="002D6C14" w:rsidRPr="002D6C14">
          <w:rPr>
            <w:rFonts w:ascii="Times New Roman" w:hAnsi="Times New Roman"/>
            <w:noProof/>
            <w:sz w:val="28"/>
            <w:lang w:val="zh-CN"/>
          </w:rPr>
          <w:t>1</w:t>
        </w:r>
        <w:r w:rsidRPr="009F61F2">
          <w:rPr>
            <w:rFonts w:ascii="Times New Roman" w:hAnsi="Times New Roman"/>
            <w:sz w:val="28"/>
          </w:rPr>
          <w:fldChar w:fldCharType="end"/>
        </w:r>
      </w:p>
    </w:sdtContent>
  </w:sdt>
  <w:p w:rsidR="009F61F2" w:rsidRDefault="009F61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EA" w:rsidRDefault="00F12CEA" w:rsidP="00246E0C">
      <w:r>
        <w:separator/>
      </w:r>
    </w:p>
  </w:footnote>
  <w:footnote w:type="continuationSeparator" w:id="0">
    <w:p w:rsidR="00F12CEA" w:rsidRDefault="00F12CEA" w:rsidP="0024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35A"/>
    <w:multiLevelType w:val="multilevel"/>
    <w:tmpl w:val="1818D09E"/>
    <w:lvl w:ilvl="0">
      <w:start w:val="5"/>
      <w:numFmt w:val="decimal"/>
      <w:lvlText w:val="第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"/>
      <w:lvlText w:val="第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30"/>
      <w:numFmt w:val="decimal"/>
      <w:lvlText w:val="第%1.%2.%3条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第%1.%2.%3条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第%1.%2.%3条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第%1.%2.%3条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第%1.%2.%3条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第%1.%2.%3条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第%1.%2.%3条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F5"/>
    <w:rsid w:val="00074209"/>
    <w:rsid w:val="000C7661"/>
    <w:rsid w:val="00180675"/>
    <w:rsid w:val="001B28CE"/>
    <w:rsid w:val="00246E0C"/>
    <w:rsid w:val="00254C03"/>
    <w:rsid w:val="00282400"/>
    <w:rsid w:val="00285F4A"/>
    <w:rsid w:val="00295081"/>
    <w:rsid w:val="002A7E4D"/>
    <w:rsid w:val="002D6C14"/>
    <w:rsid w:val="003F1A09"/>
    <w:rsid w:val="00405DBA"/>
    <w:rsid w:val="004A11F4"/>
    <w:rsid w:val="00563CD2"/>
    <w:rsid w:val="00586358"/>
    <w:rsid w:val="005970B6"/>
    <w:rsid w:val="005A319D"/>
    <w:rsid w:val="005A591A"/>
    <w:rsid w:val="005B4EF3"/>
    <w:rsid w:val="006022EF"/>
    <w:rsid w:val="006179C3"/>
    <w:rsid w:val="00654C37"/>
    <w:rsid w:val="006A3070"/>
    <w:rsid w:val="006F7A03"/>
    <w:rsid w:val="00773583"/>
    <w:rsid w:val="007C0002"/>
    <w:rsid w:val="007C6163"/>
    <w:rsid w:val="007D325D"/>
    <w:rsid w:val="007E1A28"/>
    <w:rsid w:val="007E47E1"/>
    <w:rsid w:val="00804A50"/>
    <w:rsid w:val="00806CF5"/>
    <w:rsid w:val="0080765E"/>
    <w:rsid w:val="00807C8F"/>
    <w:rsid w:val="008B496B"/>
    <w:rsid w:val="008E7467"/>
    <w:rsid w:val="00954CF1"/>
    <w:rsid w:val="009D79EA"/>
    <w:rsid w:val="009E0579"/>
    <w:rsid w:val="009F61F2"/>
    <w:rsid w:val="00A20A34"/>
    <w:rsid w:val="00B42ED1"/>
    <w:rsid w:val="00BA1CA4"/>
    <w:rsid w:val="00BC5EB2"/>
    <w:rsid w:val="00BF2CA0"/>
    <w:rsid w:val="00CB150E"/>
    <w:rsid w:val="00D051D1"/>
    <w:rsid w:val="00D0732E"/>
    <w:rsid w:val="00DB4362"/>
    <w:rsid w:val="00E246AE"/>
    <w:rsid w:val="00F12CEA"/>
    <w:rsid w:val="00F934D6"/>
    <w:rsid w:val="00FB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0765E"/>
    <w:pPr>
      <w:spacing w:after="120" w:line="480" w:lineRule="auto"/>
    </w:pPr>
    <w:rPr>
      <w:rFonts w:ascii="Times New Roman" w:eastAsia="仿宋_GB2312" w:hAnsi="Times New Roman"/>
      <w:sz w:val="32"/>
      <w:szCs w:val="20"/>
    </w:rPr>
  </w:style>
  <w:style w:type="character" w:customStyle="1" w:styleId="2Char">
    <w:name w:val="正文文本 2 Char"/>
    <w:basedOn w:val="a0"/>
    <w:link w:val="2"/>
    <w:uiPriority w:val="99"/>
    <w:rsid w:val="0080765E"/>
    <w:rPr>
      <w:rFonts w:ascii="Times New Roman" w:eastAsia="仿宋_GB2312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24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E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E0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8B49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B49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B496B"/>
    <w:rPr>
      <w:rFonts w:ascii="Cambria" w:eastAsia="宋体" w:hAnsi="Cambria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95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7358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358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0765E"/>
    <w:pPr>
      <w:spacing w:after="120" w:line="480" w:lineRule="auto"/>
    </w:pPr>
    <w:rPr>
      <w:rFonts w:ascii="Times New Roman" w:eastAsia="仿宋_GB2312" w:hAnsi="Times New Roman"/>
      <w:sz w:val="32"/>
      <w:szCs w:val="20"/>
    </w:rPr>
  </w:style>
  <w:style w:type="character" w:customStyle="1" w:styleId="2Char">
    <w:name w:val="正文文本 2 Char"/>
    <w:basedOn w:val="a0"/>
    <w:link w:val="2"/>
    <w:uiPriority w:val="99"/>
    <w:rsid w:val="0080765E"/>
    <w:rPr>
      <w:rFonts w:ascii="Times New Roman" w:eastAsia="仿宋_GB2312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24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E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E0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8B49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B49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B496B"/>
    <w:rPr>
      <w:rFonts w:ascii="Cambria" w:eastAsia="宋体" w:hAnsi="Cambria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95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7358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35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C145-0BC4-465D-90FD-A663EE8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tewrtertwe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xiansheng</dc:creator>
  <cp:lastModifiedBy>曹哲</cp:lastModifiedBy>
  <cp:revision>2</cp:revision>
  <cp:lastPrinted>2020-12-09T10:20:00Z</cp:lastPrinted>
  <dcterms:created xsi:type="dcterms:W3CDTF">2021-03-11T08:52:00Z</dcterms:created>
  <dcterms:modified xsi:type="dcterms:W3CDTF">2021-03-11T08:52:00Z</dcterms:modified>
</cp:coreProperties>
</file>