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56" w:beforeLines="50" w:after="156" w:afterLines="50" w:line="400" w:lineRule="exact"/>
        <w:outlineLvl w:val="2"/>
        <w:rPr>
          <w:rFonts w:hint="eastAsia" w:ascii="宋体" w:hAnsi="宋体"/>
          <w:b/>
          <w:bCs/>
          <w:sz w:val="24"/>
          <w:szCs w:val="28"/>
        </w:rPr>
      </w:pPr>
      <w:bookmarkStart w:id="0" w:name="_Toc80617079"/>
      <w:bookmarkStart w:id="1" w:name="_Toc66800279"/>
      <w:r>
        <w:rPr>
          <w:rFonts w:hint="eastAsia" w:ascii="宋体" w:hAnsi="宋体"/>
          <w:b/>
          <w:bCs/>
          <w:sz w:val="24"/>
          <w:szCs w:val="28"/>
        </w:rPr>
        <w:t>附录</w:t>
      </w:r>
      <w:bookmarkEnd w:id="0"/>
      <w:bookmarkEnd w:id="1"/>
    </w:p>
    <w:p>
      <w:pPr>
        <w:pStyle w:val="7"/>
        <w:spacing w:line="500" w:lineRule="exact"/>
        <w:jc w:val="center"/>
        <w:rPr>
          <w:rFonts w:hint="eastAsia"/>
          <w:szCs w:val="21"/>
        </w:rPr>
      </w:pPr>
      <w:bookmarkStart w:id="2" w:name="_Toc83313350"/>
      <w:r>
        <w:rPr>
          <w:rFonts w:hint="eastAsia"/>
        </w:rPr>
        <w:t xml:space="preserve">附录1 </w:t>
      </w:r>
      <w:bookmarkStart w:id="3" w:name="_Hlk40654568"/>
      <w:r>
        <w:rPr>
          <w:rFonts w:hint="eastAsia"/>
        </w:rPr>
        <w:t>资格审查条件（资质最低条件）</w:t>
      </w:r>
      <w:bookmarkEnd w:id="2"/>
      <w:bookmarkEnd w:id="3"/>
    </w:p>
    <w:p>
      <w:pPr>
        <w:pStyle w:val="6"/>
        <w:spacing w:line="360" w:lineRule="auto"/>
        <w:jc w:val="center"/>
        <w:rPr>
          <w:rFonts w:hint="eastAsia" w:ascii="黑体" w:hAnsi="宋体" w:eastAsia="黑体"/>
          <w:szCs w:val="21"/>
        </w:rPr>
      </w:pPr>
      <w:bookmarkStart w:id="4" w:name="_Hlk40655453"/>
    </w:p>
    <w:tbl>
      <w:tblPr>
        <w:tblStyle w:val="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73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10" w:hRule="atLeast"/>
        </w:trPr>
        <w:tc>
          <w:tcPr>
            <w:tcW w:w="1985" w:type="dxa"/>
            <w:noWrap w:val="0"/>
            <w:vAlign w:val="center"/>
          </w:tcPr>
          <w:p>
            <w:pPr>
              <w:pStyle w:val="6"/>
              <w:spacing w:line="240" w:lineRule="exact"/>
              <w:jc w:val="center"/>
              <w:rPr>
                <w:rFonts w:hint="eastAsia" w:ascii="宋体" w:hAnsi="宋体"/>
                <w:szCs w:val="21"/>
              </w:rPr>
            </w:pPr>
            <w:r>
              <w:rPr>
                <w:rFonts w:hint="eastAsia" w:ascii="宋体" w:hAnsi="宋体"/>
                <w:szCs w:val="21"/>
              </w:rPr>
              <w:t>标段</w:t>
            </w:r>
          </w:p>
        </w:tc>
        <w:tc>
          <w:tcPr>
            <w:tcW w:w="7371" w:type="dxa"/>
            <w:noWrap w:val="0"/>
            <w:vAlign w:val="center"/>
          </w:tcPr>
          <w:p>
            <w:pPr>
              <w:pStyle w:val="6"/>
              <w:spacing w:line="240" w:lineRule="exact"/>
              <w:jc w:val="center"/>
              <w:rPr>
                <w:rFonts w:hint="eastAsia" w:ascii="宋体" w:hAnsi="宋体"/>
                <w:szCs w:val="21"/>
              </w:rPr>
            </w:pPr>
            <w:r>
              <w:rPr>
                <w:rFonts w:hint="eastAsia" w:ascii="宋体" w:hAnsi="宋体"/>
                <w:szCs w:val="21"/>
              </w:rPr>
              <w:t>勘察设计企业资质等级要求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35" w:hRule="atLeast"/>
        </w:trPr>
        <w:tc>
          <w:tcPr>
            <w:tcW w:w="1985" w:type="dxa"/>
            <w:noWrap w:val="0"/>
            <w:vAlign w:val="center"/>
          </w:tcPr>
          <w:p>
            <w:pPr>
              <w:pStyle w:val="6"/>
              <w:spacing w:line="460" w:lineRule="exact"/>
              <w:jc w:val="center"/>
              <w:rPr>
                <w:rFonts w:hint="eastAsia" w:ascii="宋体" w:hAnsi="宋体"/>
              </w:rPr>
            </w:pPr>
            <w:r>
              <w:rPr>
                <w:rFonts w:hint="eastAsia" w:ascii="宋体" w:hAnsi="宋体"/>
              </w:rPr>
              <w:t>第SJ01标段</w:t>
            </w:r>
          </w:p>
        </w:tc>
        <w:tc>
          <w:tcPr>
            <w:tcW w:w="7371" w:type="dxa"/>
            <w:noWrap w:val="0"/>
            <w:vAlign w:val="center"/>
          </w:tcPr>
          <w:p>
            <w:pPr>
              <w:pStyle w:val="6"/>
              <w:spacing w:line="380" w:lineRule="exact"/>
              <w:ind w:firstLine="420" w:firstLineChars="200"/>
              <w:rPr>
                <w:rFonts w:ascii="宋体" w:hAnsi="宋体"/>
                <w:szCs w:val="21"/>
              </w:rPr>
            </w:pPr>
            <w:r>
              <w:rPr>
                <w:rFonts w:ascii="宋体" w:hAnsi="宋体"/>
                <w:szCs w:val="21"/>
              </w:rPr>
              <w:t>1</w:t>
            </w:r>
            <w:r>
              <w:rPr>
                <w:rFonts w:hint="eastAsia" w:ascii="宋体" w:hAnsi="宋体"/>
                <w:szCs w:val="21"/>
              </w:rPr>
              <w:t>．具有独立法人资格，同时具备⑴和⑵相应的工程勘察和设计资质：</w:t>
            </w:r>
          </w:p>
          <w:p>
            <w:pPr>
              <w:pStyle w:val="6"/>
              <w:spacing w:line="380" w:lineRule="exact"/>
              <w:ind w:firstLine="630" w:firstLineChars="300"/>
              <w:rPr>
                <w:rFonts w:ascii="宋体" w:hAnsi="宋体"/>
                <w:szCs w:val="21"/>
              </w:rPr>
            </w:pPr>
            <w:r>
              <w:rPr>
                <w:rFonts w:hint="eastAsia" w:ascii="宋体" w:hAnsi="宋体"/>
                <w:szCs w:val="21"/>
              </w:rPr>
              <w:t>⑴</w:t>
            </w:r>
            <w:r>
              <w:rPr>
                <w:rFonts w:ascii="宋体" w:hAnsi="宋体"/>
                <w:szCs w:val="21"/>
              </w:rPr>
              <w:t xml:space="preserve"> 工程</w:t>
            </w:r>
            <w:r>
              <w:rPr>
                <w:rFonts w:hint="eastAsia" w:ascii="宋体" w:hAnsi="宋体"/>
                <w:szCs w:val="21"/>
              </w:rPr>
              <w:t>设计</w:t>
            </w:r>
            <w:r>
              <w:rPr>
                <w:rFonts w:ascii="宋体" w:hAnsi="宋体"/>
                <w:szCs w:val="21"/>
              </w:rPr>
              <w:t>综合甲级资质</w:t>
            </w:r>
            <w:r>
              <w:rPr>
                <w:rFonts w:hint="eastAsia" w:ascii="宋体" w:hAnsi="宋体"/>
                <w:szCs w:val="21"/>
              </w:rPr>
              <w:t>或工程设计公路行业甲级或工程设计公路行业专业类（公路、特大桥梁、特长隧道、交通工程）甲级资质；</w:t>
            </w:r>
          </w:p>
          <w:p>
            <w:pPr>
              <w:pStyle w:val="6"/>
              <w:spacing w:line="380" w:lineRule="exact"/>
              <w:ind w:firstLine="630" w:firstLineChars="300"/>
              <w:rPr>
                <w:rFonts w:ascii="宋体" w:hAnsi="宋体"/>
                <w:szCs w:val="21"/>
              </w:rPr>
            </w:pPr>
            <w:r>
              <w:rPr>
                <w:rFonts w:hint="eastAsia" w:ascii="宋体" w:hAnsi="宋体"/>
                <w:szCs w:val="21"/>
              </w:rPr>
              <w:t>⑵</w:t>
            </w:r>
            <w:r>
              <w:rPr>
                <w:rFonts w:ascii="宋体" w:hAnsi="宋体"/>
                <w:szCs w:val="21"/>
              </w:rPr>
              <w:t xml:space="preserve"> </w:t>
            </w:r>
            <w:r>
              <w:rPr>
                <w:rFonts w:hint="eastAsia" w:ascii="宋体" w:hAnsi="宋体"/>
                <w:szCs w:val="21"/>
              </w:rPr>
              <w:t>工程勘察综合类甲级资质或工程勘察专业类（岩土工程）甲级资质。</w:t>
            </w:r>
          </w:p>
          <w:p>
            <w:pPr>
              <w:pStyle w:val="6"/>
              <w:spacing w:line="380" w:lineRule="exact"/>
              <w:ind w:firstLine="420" w:firstLineChars="200"/>
              <w:rPr>
                <w:rFonts w:ascii="宋体" w:hAnsi="宋体"/>
                <w:szCs w:val="21"/>
              </w:rPr>
            </w:pPr>
            <w:r>
              <w:rPr>
                <w:rFonts w:hint="eastAsia" w:ascii="宋体" w:hAnsi="宋体"/>
                <w:szCs w:val="21"/>
              </w:rPr>
              <w:t>2．本次招标接受联合体投标，仅限勘察与设计联合。联合体牵头人为工程设计综合甲级资质或工程设计公路行业甲级资质或工程设计公路行业专业类（公路、特大桥梁、特长隧道、交通工程）甲级资质的设计单位，联合体成员总数不得超过2家。联合体牵头人须是承担本项目设计任务的联合体成员，联合体成员须是承担本项目勘察任务的联合体成员。联合体应当具备招标公告要求的资质条件，联合体各方所承担的专业工程应与其资质相适应，在资质范围内承担相应的专业工程。</w:t>
            </w:r>
          </w:p>
          <w:p>
            <w:pPr>
              <w:pStyle w:val="6"/>
              <w:spacing w:line="380" w:lineRule="exact"/>
              <w:ind w:firstLine="420" w:firstLineChars="200"/>
              <w:rPr>
                <w:rFonts w:hint="eastAsia" w:ascii="宋体" w:hAnsi="宋体"/>
                <w:szCs w:val="21"/>
              </w:rPr>
            </w:pPr>
            <w:r>
              <w:rPr>
                <w:rFonts w:hint="eastAsia" w:ascii="宋体" w:hAnsi="宋体"/>
                <w:szCs w:val="21"/>
              </w:rPr>
              <w:t>3．投标人（以联合体方式投标的，指的是联合体牵头人）应为列入交通</w:t>
            </w:r>
            <w:r>
              <w:rPr>
                <w:rFonts w:ascii="宋体" w:hAnsi="宋体"/>
                <w:szCs w:val="21"/>
              </w:rPr>
              <w:t>运输部网</w:t>
            </w:r>
            <w:r>
              <w:rPr>
                <w:rFonts w:hint="eastAsia" w:ascii="宋体" w:hAnsi="宋体"/>
                <w:szCs w:val="21"/>
              </w:rPr>
              <w:t>站（http://www.mot.gov.cn</w:t>
            </w:r>
            <w:r>
              <w:rPr>
                <w:rFonts w:ascii="宋体" w:hAnsi="宋体"/>
                <w:szCs w:val="21"/>
              </w:rPr>
              <w:t>）</w:t>
            </w:r>
            <w:r>
              <w:rPr>
                <w:rFonts w:hint="eastAsia" w:ascii="宋体" w:hAnsi="宋体"/>
                <w:szCs w:val="21"/>
              </w:rPr>
              <w:t>中全国公路建设市场信用信息管理系统中最新公布的公路工程设计资质企业名录，</w:t>
            </w:r>
            <w:r>
              <w:rPr>
                <w:rFonts w:hint="eastAsia" w:ascii="宋体" w:hAnsi="宋体" w:cs="宋体"/>
              </w:rPr>
              <w:t>投标人名称与全国公路建设市场信用信息管理系统中的名录相符</w:t>
            </w:r>
            <w:r>
              <w:rPr>
                <w:rFonts w:hint="eastAsia" w:ascii="宋体" w:hAnsi="宋体"/>
                <w:szCs w:val="21"/>
              </w:rPr>
              <w:t>。对未列入上述名录或单位名称与上</w:t>
            </w:r>
            <w:r>
              <w:rPr>
                <w:rFonts w:ascii="宋体" w:hAnsi="宋体"/>
                <w:szCs w:val="21"/>
              </w:rPr>
              <w:t>述</w:t>
            </w:r>
            <w:r>
              <w:rPr>
                <w:rFonts w:hint="eastAsia" w:ascii="宋体" w:hAnsi="宋体"/>
                <w:szCs w:val="21"/>
              </w:rPr>
              <w:t>名录不符的投标人（以联合体方式投标的，指的是联合体牵头人），资格审查不予通过。</w:t>
            </w:r>
          </w:p>
        </w:tc>
      </w:tr>
      <w:bookmarkEnd w:id="4"/>
    </w:tbl>
    <w:p>
      <w:pPr>
        <w:pStyle w:val="6"/>
        <w:spacing w:line="360" w:lineRule="auto"/>
        <w:jc w:val="left"/>
        <w:rPr>
          <w:rFonts w:hint="eastAsia" w:ascii="宋体" w:hAnsi="宋体"/>
          <w:szCs w:val="21"/>
        </w:rPr>
      </w:pPr>
    </w:p>
    <w:p>
      <w:pPr>
        <w:pStyle w:val="7"/>
        <w:spacing w:line="500" w:lineRule="exact"/>
        <w:jc w:val="center"/>
        <w:rPr>
          <w:rFonts w:hint="eastAsia"/>
        </w:rPr>
      </w:pPr>
      <w:r>
        <w:rPr>
          <w:rFonts w:ascii="宋体" w:hAnsi="宋体"/>
          <w:szCs w:val="21"/>
        </w:rPr>
        <w:br w:type="page"/>
      </w:r>
      <w:bookmarkStart w:id="5" w:name="_Toc83313351"/>
      <w:r>
        <w:rPr>
          <w:rFonts w:hint="eastAsia"/>
        </w:rPr>
        <w:t>附录2 资格审查条件（</w:t>
      </w:r>
      <w:bookmarkStart w:id="6" w:name="_Hlk40654608"/>
      <w:r>
        <w:rPr>
          <w:rFonts w:hint="eastAsia"/>
        </w:rPr>
        <w:t>业绩最低要求</w:t>
      </w:r>
      <w:bookmarkEnd w:id="6"/>
      <w:r>
        <w:rPr>
          <w:rFonts w:hint="eastAsia"/>
        </w:rPr>
        <w:t>）</w:t>
      </w:r>
      <w:bookmarkEnd w:id="5"/>
    </w:p>
    <w:p>
      <w:pPr>
        <w:pStyle w:val="6"/>
        <w:rPr>
          <w:rFonts w:hint="eastAsia"/>
        </w:rPr>
      </w:pPr>
    </w:p>
    <w:tbl>
      <w:tblPr>
        <w:tblStyle w:val="3"/>
        <w:tblW w:w="959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1"/>
        <w:gridCol w:w="2282"/>
        <w:gridCol w:w="5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5" w:hRule="atLeast"/>
        </w:trPr>
        <w:tc>
          <w:tcPr>
            <w:tcW w:w="1611" w:type="dxa"/>
            <w:noWrap w:val="0"/>
            <w:vAlign w:val="center"/>
          </w:tcPr>
          <w:p>
            <w:pPr>
              <w:pStyle w:val="6"/>
              <w:spacing w:line="240" w:lineRule="exact"/>
              <w:jc w:val="center"/>
              <w:rPr>
                <w:rFonts w:hint="eastAsia" w:ascii="宋体" w:hAnsi="宋体"/>
                <w:szCs w:val="21"/>
              </w:rPr>
            </w:pPr>
            <w:bookmarkStart w:id="7" w:name="_Hlk40656065"/>
            <w:r>
              <w:rPr>
                <w:rFonts w:hint="eastAsia" w:ascii="宋体" w:hAnsi="宋体"/>
                <w:szCs w:val="21"/>
              </w:rPr>
              <w:t>标段</w:t>
            </w:r>
          </w:p>
        </w:tc>
        <w:tc>
          <w:tcPr>
            <w:tcW w:w="2282" w:type="dxa"/>
            <w:noWrap w:val="0"/>
            <w:vAlign w:val="center"/>
          </w:tcPr>
          <w:p>
            <w:pPr>
              <w:pStyle w:val="6"/>
              <w:spacing w:line="240" w:lineRule="exact"/>
              <w:jc w:val="center"/>
              <w:rPr>
                <w:rFonts w:hint="eastAsia" w:ascii="宋体" w:hAnsi="宋体"/>
                <w:szCs w:val="21"/>
              </w:rPr>
            </w:pPr>
            <w:r>
              <w:rPr>
                <w:rFonts w:hint="eastAsia" w:ascii="宋体" w:hAnsi="宋体"/>
                <w:szCs w:val="21"/>
              </w:rPr>
              <w:t>投标人类型</w:t>
            </w:r>
          </w:p>
        </w:tc>
        <w:tc>
          <w:tcPr>
            <w:tcW w:w="5706" w:type="dxa"/>
            <w:noWrap w:val="0"/>
            <w:vAlign w:val="center"/>
          </w:tcPr>
          <w:p>
            <w:pPr>
              <w:pStyle w:val="6"/>
              <w:spacing w:line="240" w:lineRule="exact"/>
              <w:jc w:val="center"/>
              <w:rPr>
                <w:rFonts w:hint="eastAsia" w:ascii="宋体" w:hAnsi="宋体"/>
                <w:szCs w:val="21"/>
              </w:rPr>
            </w:pPr>
            <w:r>
              <w:rPr>
                <w:rFonts w:hint="eastAsia" w:ascii="宋体" w:hAnsi="宋体"/>
                <w:szCs w:val="21"/>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63" w:hRule="atLeast"/>
        </w:trPr>
        <w:tc>
          <w:tcPr>
            <w:tcW w:w="1611" w:type="dxa"/>
            <w:vMerge w:val="restart"/>
            <w:tcBorders>
              <w:top w:val="single" w:color="auto" w:sz="4" w:space="0"/>
            </w:tcBorders>
            <w:noWrap w:val="0"/>
            <w:vAlign w:val="center"/>
          </w:tcPr>
          <w:p>
            <w:pPr>
              <w:pStyle w:val="6"/>
              <w:spacing w:line="320" w:lineRule="exact"/>
              <w:jc w:val="center"/>
              <w:rPr>
                <w:rFonts w:hint="eastAsia" w:ascii="宋体" w:hAnsi="宋体"/>
              </w:rPr>
            </w:pPr>
            <w:r>
              <w:rPr>
                <w:rFonts w:hint="eastAsia" w:ascii="宋体" w:hAnsi="宋体"/>
              </w:rPr>
              <w:t>第SJ01标段</w:t>
            </w:r>
          </w:p>
        </w:tc>
        <w:tc>
          <w:tcPr>
            <w:tcW w:w="2282" w:type="dxa"/>
            <w:tcBorders>
              <w:top w:val="single" w:color="auto" w:sz="4" w:space="0"/>
              <w:bottom w:val="single" w:color="auto" w:sz="4" w:space="0"/>
            </w:tcBorders>
            <w:noWrap w:val="0"/>
            <w:vAlign w:val="center"/>
          </w:tcPr>
          <w:p>
            <w:pPr>
              <w:pStyle w:val="6"/>
              <w:spacing w:line="360" w:lineRule="auto"/>
              <w:jc w:val="center"/>
              <w:rPr>
                <w:rFonts w:ascii="宋体" w:hAnsi="宋体"/>
                <w:szCs w:val="21"/>
              </w:rPr>
            </w:pPr>
            <w:r>
              <w:rPr>
                <w:rFonts w:hint="eastAsia" w:ascii="宋体" w:hAnsi="宋体"/>
                <w:b/>
                <w:szCs w:val="21"/>
              </w:rPr>
              <w:t>若以联合体方式投标的，指承担勘察任务的联合体成员</w:t>
            </w:r>
          </w:p>
        </w:tc>
        <w:tc>
          <w:tcPr>
            <w:tcW w:w="5706" w:type="dxa"/>
            <w:tcBorders>
              <w:top w:val="single" w:color="auto" w:sz="4" w:space="0"/>
              <w:bottom w:val="single" w:color="auto" w:sz="4" w:space="0"/>
            </w:tcBorders>
            <w:noWrap w:val="0"/>
            <w:vAlign w:val="center"/>
          </w:tcPr>
          <w:p>
            <w:pPr>
              <w:pStyle w:val="6"/>
              <w:spacing w:line="360" w:lineRule="exact"/>
              <w:ind w:firstLine="420" w:firstLineChars="200"/>
              <w:rPr>
                <w:rFonts w:hint="eastAsia" w:ascii="宋体" w:hAnsi="宋体"/>
                <w:szCs w:val="21"/>
              </w:rPr>
            </w:pPr>
            <w:r>
              <w:rPr>
                <w:rFonts w:hint="eastAsia" w:ascii="宋体" w:hAnsi="宋体"/>
                <w:szCs w:val="21"/>
              </w:rPr>
              <w:t>自2016年7月1日以来（以施工图批复或准予行政许可决定书时间为准），按一个标段成功完成过1条里程25km及以上新（改扩）建高速公路勘察业绩。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63" w:hRule="atLeast"/>
        </w:trPr>
        <w:tc>
          <w:tcPr>
            <w:tcW w:w="1611" w:type="dxa"/>
            <w:vMerge w:val="continue"/>
            <w:noWrap w:val="0"/>
            <w:vAlign w:val="center"/>
          </w:tcPr>
          <w:p>
            <w:pPr>
              <w:pStyle w:val="6"/>
              <w:spacing w:line="320" w:lineRule="exact"/>
              <w:jc w:val="center"/>
              <w:rPr>
                <w:rFonts w:hint="eastAsia" w:ascii="宋体" w:hAnsi="宋体"/>
              </w:rPr>
            </w:pPr>
          </w:p>
        </w:tc>
        <w:tc>
          <w:tcPr>
            <w:tcW w:w="2282" w:type="dxa"/>
            <w:tcBorders>
              <w:top w:val="single" w:color="auto" w:sz="4" w:space="0"/>
            </w:tcBorders>
            <w:noWrap w:val="0"/>
            <w:vAlign w:val="center"/>
          </w:tcPr>
          <w:p>
            <w:pPr>
              <w:pStyle w:val="6"/>
              <w:spacing w:line="360" w:lineRule="auto"/>
              <w:jc w:val="center"/>
              <w:rPr>
                <w:rFonts w:ascii="宋体" w:hAnsi="宋体"/>
                <w:szCs w:val="21"/>
              </w:rPr>
            </w:pPr>
            <w:r>
              <w:rPr>
                <w:rFonts w:hint="eastAsia" w:ascii="宋体" w:hAnsi="宋体"/>
                <w:b/>
                <w:szCs w:val="21"/>
              </w:rPr>
              <w:t>若以联合体方式投标的，指承担设计任务的联合体牵头人</w:t>
            </w:r>
          </w:p>
        </w:tc>
        <w:tc>
          <w:tcPr>
            <w:tcW w:w="5706" w:type="dxa"/>
            <w:tcBorders>
              <w:top w:val="single" w:color="auto" w:sz="4" w:space="0"/>
            </w:tcBorders>
            <w:noWrap w:val="0"/>
            <w:vAlign w:val="center"/>
          </w:tcPr>
          <w:p>
            <w:pPr>
              <w:pStyle w:val="6"/>
              <w:spacing w:line="360" w:lineRule="exact"/>
              <w:ind w:firstLine="420" w:firstLineChars="200"/>
              <w:rPr>
                <w:rFonts w:hint="eastAsia" w:ascii="宋体" w:hAnsi="宋体"/>
                <w:szCs w:val="21"/>
              </w:rPr>
            </w:pPr>
            <w:r>
              <w:rPr>
                <w:rFonts w:hint="eastAsia" w:ascii="宋体" w:hAnsi="宋体"/>
                <w:szCs w:val="21"/>
              </w:rPr>
              <w:t>自2016年7月1日以来（以施工图批复或准予行政许可决定书时间为准），按一个标段成功完成过1条里程25km及以上新（改扩）建高速公路设计业绩。</w:t>
            </w:r>
          </w:p>
        </w:tc>
      </w:tr>
      <w:bookmarkEnd w:id="7"/>
    </w:tbl>
    <w:p>
      <w:pPr>
        <w:pStyle w:val="6"/>
        <w:spacing w:line="280" w:lineRule="exact"/>
        <w:ind w:firstLine="420" w:firstLineChars="200"/>
        <w:rPr>
          <w:rFonts w:ascii="宋体" w:hAnsi="宋体"/>
        </w:rPr>
      </w:pPr>
      <w:r>
        <w:rPr>
          <w:rFonts w:hint="eastAsia" w:ascii="宋体" w:hAnsi="宋体"/>
        </w:rPr>
        <w:t>注：</w:t>
      </w:r>
    </w:p>
    <w:p>
      <w:pPr>
        <w:pStyle w:val="6"/>
        <w:spacing w:line="280" w:lineRule="exact"/>
        <w:ind w:firstLine="420" w:firstLineChars="200"/>
        <w:rPr>
          <w:rFonts w:ascii="宋体" w:hAnsi="宋体"/>
        </w:rPr>
      </w:pPr>
      <w:r>
        <w:rPr>
          <w:rFonts w:ascii="宋体" w:hAnsi="宋体"/>
        </w:rPr>
        <w:t>1</w:t>
      </w:r>
      <w:r>
        <w:rPr>
          <w:rFonts w:hint="eastAsia" w:ascii="宋体" w:hAnsi="宋体"/>
        </w:rPr>
        <w:t>、投标人须在资格审查表“（二）2016年</w:t>
      </w:r>
      <w:r>
        <w:rPr>
          <w:rFonts w:ascii="宋体" w:hAnsi="宋体"/>
        </w:rPr>
        <w:t>7月</w:t>
      </w:r>
      <w:r>
        <w:rPr>
          <w:rFonts w:hint="eastAsia" w:ascii="宋体" w:hAnsi="宋体"/>
        </w:rPr>
        <w:t>1日以来完成的类似项目情况表”后附：</w:t>
      </w:r>
    </w:p>
    <w:p>
      <w:pPr>
        <w:pStyle w:val="6"/>
        <w:spacing w:line="280" w:lineRule="exact"/>
        <w:ind w:firstLine="420" w:firstLineChars="200"/>
        <w:rPr>
          <w:rFonts w:ascii="宋体" w:hAnsi="宋体"/>
        </w:rPr>
      </w:pPr>
      <w:r>
        <w:rPr>
          <w:rFonts w:hint="eastAsia" w:ascii="宋体" w:hAnsi="宋体"/>
        </w:rPr>
        <w:t>（a）、施工图设计批复文件（或准予行政许可决定书）的清晰扫描件；</w:t>
      </w:r>
    </w:p>
    <w:p>
      <w:pPr>
        <w:pStyle w:val="6"/>
        <w:spacing w:line="280" w:lineRule="exact"/>
        <w:ind w:firstLine="420" w:firstLineChars="200"/>
        <w:rPr>
          <w:rFonts w:ascii="宋体" w:hAnsi="宋体"/>
        </w:rPr>
      </w:pPr>
      <w:r>
        <w:rPr>
          <w:rFonts w:hint="eastAsia" w:ascii="宋体" w:hAnsi="宋体"/>
        </w:rPr>
        <w:t>（b）、中标通知书或合同协议书的清晰扫描件。</w:t>
      </w:r>
    </w:p>
    <w:p>
      <w:pPr>
        <w:pStyle w:val="6"/>
        <w:spacing w:line="280" w:lineRule="exact"/>
        <w:ind w:firstLine="420" w:firstLineChars="200"/>
        <w:rPr>
          <w:rFonts w:hint="eastAsia" w:ascii="宋体" w:hAnsi="宋体"/>
        </w:rPr>
      </w:pPr>
      <w:r>
        <w:rPr>
          <w:rFonts w:hint="eastAsia" w:ascii="宋体" w:hAnsi="宋体"/>
        </w:rPr>
        <w:t>两者缺一不可，否则业绩不予认可。业绩时间认定以施工图设计批复文件（或准予行政许可决定书）为准。</w:t>
      </w:r>
    </w:p>
    <w:p>
      <w:pPr>
        <w:pStyle w:val="6"/>
        <w:spacing w:line="280" w:lineRule="exact"/>
        <w:ind w:firstLine="630" w:firstLineChars="300"/>
        <w:rPr>
          <w:rFonts w:ascii="宋体" w:hAnsi="宋体"/>
        </w:rPr>
      </w:pPr>
      <w:r>
        <w:rPr>
          <w:rFonts w:ascii="宋体" w:hAnsi="宋体"/>
        </w:rPr>
        <w:t>2</w:t>
      </w:r>
      <w:r>
        <w:rPr>
          <w:rFonts w:hint="eastAsia" w:ascii="宋体" w:hAnsi="宋体"/>
        </w:rPr>
        <w:t>、中标通知书或合同协议书、施工图设计批复文件（或准予行政许可决定书）等的勘察设计单位名称与投标人名称必须一致（如投标人名称发生变更的，应提供法定部门的批准材料；单位业绩发生合法承继的，需提供业绩合法承继的有效证明，相关业绩信息在浙江省交通运输厅建设市场诚信信息系统完成公开的可以认定为合法承继），否则业绩不予认可。</w:t>
      </w:r>
    </w:p>
    <w:p>
      <w:pPr>
        <w:pStyle w:val="6"/>
        <w:spacing w:line="280" w:lineRule="exact"/>
        <w:ind w:firstLine="630" w:firstLineChars="300"/>
        <w:rPr>
          <w:rFonts w:ascii="宋体" w:hAnsi="宋体"/>
        </w:rPr>
      </w:pPr>
      <w:r>
        <w:rPr>
          <w:rFonts w:ascii="宋体" w:hAnsi="宋体"/>
        </w:rPr>
        <w:t>3</w:t>
      </w:r>
      <w:r>
        <w:rPr>
          <w:rFonts w:hint="eastAsia" w:ascii="宋体" w:hAnsi="宋体"/>
        </w:rPr>
        <w:t>、工程规模解释顺序为：施工图设计批复文件（或准予行政许可决定书）、合同协议书、中标通知书；如投标人提供的上述证明材料均无法体现出“投标人须知前附表”附录2要求的建设规模，则投标人还需提供项目发包人（或业主或</w:t>
      </w:r>
      <w:r>
        <w:rPr>
          <w:rFonts w:hint="eastAsia" w:ascii="宋体" w:hAnsi="宋体"/>
          <w:szCs w:val="21"/>
        </w:rPr>
        <w:t>项目所在地设区市行业主管部门）</w:t>
      </w:r>
      <w:r>
        <w:rPr>
          <w:rFonts w:hint="eastAsia" w:ascii="宋体" w:hAnsi="宋体"/>
        </w:rPr>
        <w:t>出具的证明材料，否则业绩不予认可。</w:t>
      </w:r>
    </w:p>
    <w:p>
      <w:pPr>
        <w:pStyle w:val="6"/>
        <w:spacing w:line="280" w:lineRule="exact"/>
        <w:ind w:firstLine="630" w:firstLineChars="300"/>
        <w:rPr>
          <w:rFonts w:ascii="宋体" w:hAnsi="宋体"/>
        </w:rPr>
      </w:pPr>
      <w:r>
        <w:rPr>
          <w:rFonts w:hint="eastAsia" w:ascii="宋体" w:hAnsi="宋体"/>
        </w:rPr>
        <w:t>4、独立参与投标的投标人，提供的同一个业绩同时满足上述勘察业绩和设计业绩要求的，仅需提供一个业绩即可。</w:t>
      </w:r>
    </w:p>
    <w:p>
      <w:pPr>
        <w:pStyle w:val="6"/>
        <w:spacing w:line="280" w:lineRule="exact"/>
        <w:ind w:firstLine="630" w:firstLineChars="300"/>
        <w:rPr>
          <w:rFonts w:hint="eastAsia" w:ascii="宋体" w:hAnsi="宋体"/>
        </w:rPr>
      </w:pPr>
      <w:r>
        <w:rPr>
          <w:rFonts w:hint="eastAsia" w:ascii="宋体" w:hAnsi="宋体"/>
        </w:rPr>
        <w:t>5、以联合体形式投标的，联合体各方应按联合体协议书中承担的工作内容提供相应的业绩材料分别填写。</w:t>
      </w:r>
    </w:p>
    <w:p>
      <w:pPr>
        <w:pStyle w:val="7"/>
        <w:spacing w:line="500" w:lineRule="exact"/>
        <w:jc w:val="center"/>
        <w:rPr>
          <w:rFonts w:hint="eastAsia"/>
        </w:rPr>
      </w:pPr>
      <w:r>
        <w:rPr>
          <w:rFonts w:ascii="宋体" w:hAnsi="宋体"/>
          <w:szCs w:val="21"/>
        </w:rPr>
        <w:br w:type="page"/>
      </w:r>
      <w:bookmarkStart w:id="8" w:name="_Toc83313352"/>
      <w:r>
        <w:rPr>
          <w:rFonts w:hint="eastAsia"/>
        </w:rPr>
        <w:t>附录3 资格审查条件（主要人员最低要求）</w:t>
      </w:r>
      <w:bookmarkEnd w:id="8"/>
    </w:p>
    <w:p>
      <w:pPr>
        <w:pStyle w:val="6"/>
        <w:jc w:val="center"/>
        <w:rPr>
          <w:rFonts w:hint="eastAsia"/>
          <w:b/>
          <w:sz w:val="24"/>
        </w:rPr>
      </w:pPr>
      <w:bookmarkStart w:id="9" w:name="_Hlk40656236"/>
    </w:p>
    <w:tbl>
      <w:tblPr>
        <w:tblStyle w:val="3"/>
        <w:tblW w:w="973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6"/>
        <w:gridCol w:w="1965"/>
        <w:gridCol w:w="660"/>
        <w:gridCol w:w="6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5" w:hRule="atLeast"/>
        </w:trPr>
        <w:tc>
          <w:tcPr>
            <w:tcW w:w="856" w:type="dxa"/>
            <w:noWrap w:val="0"/>
            <w:vAlign w:val="center"/>
          </w:tcPr>
          <w:p>
            <w:pPr>
              <w:pStyle w:val="6"/>
              <w:spacing w:line="260" w:lineRule="exact"/>
              <w:jc w:val="center"/>
              <w:rPr>
                <w:rFonts w:hint="eastAsia" w:ascii="宋体" w:hAnsi="宋体"/>
                <w:szCs w:val="21"/>
              </w:rPr>
            </w:pPr>
            <w:r>
              <w:rPr>
                <w:rFonts w:hint="eastAsia" w:ascii="宋体" w:hAnsi="宋体"/>
              </w:rPr>
              <w:t>标段</w:t>
            </w:r>
          </w:p>
        </w:tc>
        <w:tc>
          <w:tcPr>
            <w:tcW w:w="1965" w:type="dxa"/>
            <w:noWrap w:val="0"/>
            <w:vAlign w:val="center"/>
          </w:tcPr>
          <w:p>
            <w:pPr>
              <w:pStyle w:val="6"/>
              <w:spacing w:line="260" w:lineRule="exact"/>
              <w:jc w:val="center"/>
              <w:rPr>
                <w:rFonts w:hint="eastAsia" w:ascii="宋体" w:hAnsi="宋体"/>
                <w:szCs w:val="21"/>
              </w:rPr>
            </w:pPr>
            <w:r>
              <w:rPr>
                <w:rFonts w:hint="eastAsia" w:ascii="宋体" w:hAnsi="宋体" w:cs="宋体"/>
                <w:szCs w:val="21"/>
              </w:rPr>
              <w:t>人员</w:t>
            </w:r>
          </w:p>
        </w:tc>
        <w:tc>
          <w:tcPr>
            <w:tcW w:w="660" w:type="dxa"/>
            <w:noWrap w:val="0"/>
            <w:vAlign w:val="center"/>
          </w:tcPr>
          <w:p>
            <w:pPr>
              <w:pStyle w:val="6"/>
              <w:spacing w:line="260" w:lineRule="exact"/>
              <w:jc w:val="center"/>
              <w:rPr>
                <w:rFonts w:hint="eastAsia" w:ascii="宋体" w:hAnsi="宋体"/>
                <w:szCs w:val="21"/>
              </w:rPr>
            </w:pPr>
            <w:r>
              <w:rPr>
                <w:rFonts w:hint="eastAsia" w:ascii="宋体" w:hAnsi="宋体"/>
                <w:szCs w:val="21"/>
              </w:rPr>
              <w:t>数量</w:t>
            </w:r>
          </w:p>
        </w:tc>
        <w:tc>
          <w:tcPr>
            <w:tcW w:w="6256" w:type="dxa"/>
            <w:noWrap w:val="0"/>
            <w:vAlign w:val="center"/>
          </w:tcPr>
          <w:p>
            <w:pPr>
              <w:pStyle w:val="6"/>
              <w:spacing w:line="260" w:lineRule="exact"/>
              <w:jc w:val="center"/>
              <w:rPr>
                <w:rFonts w:hint="eastAsia" w:ascii="宋体" w:hAnsi="宋体"/>
                <w:szCs w:val="21"/>
              </w:rPr>
            </w:pPr>
            <w:r>
              <w:rPr>
                <w:rFonts w:hint="eastAsia" w:ascii="宋体" w:hAnsi="宋体"/>
                <w:szCs w:val="21"/>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trPr>
        <w:tc>
          <w:tcPr>
            <w:tcW w:w="856" w:type="dxa"/>
            <w:vMerge w:val="restart"/>
            <w:noWrap w:val="0"/>
            <w:vAlign w:val="center"/>
          </w:tcPr>
          <w:p>
            <w:pPr>
              <w:pStyle w:val="6"/>
              <w:spacing w:line="260" w:lineRule="exact"/>
              <w:jc w:val="center"/>
              <w:rPr>
                <w:rFonts w:ascii="宋体" w:hAnsi="宋体"/>
              </w:rPr>
            </w:pPr>
            <w:r>
              <w:rPr>
                <w:rFonts w:hint="eastAsia" w:ascii="宋体" w:hAnsi="宋体"/>
              </w:rPr>
              <w:t>第SJ01标段</w:t>
            </w:r>
          </w:p>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hint="eastAsia" w:ascii="宋体" w:hAnsi="宋体"/>
                <w:szCs w:val="21"/>
              </w:rPr>
            </w:pPr>
            <w:r>
              <w:rPr>
                <w:rFonts w:hint="eastAsia" w:ascii="宋体" w:hAnsi="宋体"/>
                <w:szCs w:val="21"/>
              </w:rPr>
              <w:t>项目负责人</w:t>
            </w:r>
          </w:p>
        </w:tc>
        <w:tc>
          <w:tcPr>
            <w:tcW w:w="660" w:type="dxa"/>
            <w:noWrap w:val="0"/>
            <w:vAlign w:val="center"/>
          </w:tcPr>
          <w:p>
            <w:pPr>
              <w:pStyle w:val="6"/>
              <w:spacing w:line="260" w:lineRule="exact"/>
              <w:jc w:val="center"/>
              <w:rPr>
                <w:rFonts w:hint="eastAsia"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szCs w:val="21"/>
              </w:rPr>
            </w:pPr>
            <w:r>
              <w:rPr>
                <w:rFonts w:hint="eastAsia" w:ascii="宋体" w:hAnsi="宋体"/>
                <w:bCs/>
                <w:szCs w:val="21"/>
              </w:rPr>
              <w:t>具有正高级工程师职称，</w:t>
            </w:r>
            <w:r>
              <w:rPr>
                <w:rFonts w:hint="eastAsia" w:ascii="宋体" w:hAnsi="宋体"/>
              </w:rPr>
              <w:t>以项目负责人身份</w:t>
            </w:r>
            <w:r>
              <w:rPr>
                <w:rFonts w:hint="eastAsia" w:ascii="宋体" w:hAnsi="宋体"/>
                <w:bCs/>
                <w:szCs w:val="21"/>
              </w:rPr>
              <w:t>任职过1条新（改扩）建高速公路的勘察设计工作；</w:t>
            </w:r>
            <w:r>
              <w:rPr>
                <w:rFonts w:hint="eastAsia" w:ascii="宋体" w:hAnsi="宋体"/>
              </w:rPr>
              <w:t>自2018年</w:t>
            </w:r>
            <w:r>
              <w:rPr>
                <w:rFonts w:ascii="宋体" w:hAnsi="宋体"/>
              </w:rPr>
              <w:t>7月</w:t>
            </w:r>
            <w:r>
              <w:rPr>
                <w:rFonts w:hint="eastAsia" w:ascii="宋体" w:hAnsi="宋体"/>
              </w:rPr>
              <w:t>1日以来，无行贿犯罪行为。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1"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hint="eastAsia" w:ascii="宋体" w:hAnsi="宋体"/>
                <w:szCs w:val="21"/>
              </w:rPr>
            </w:pPr>
            <w:r>
              <w:rPr>
                <w:rFonts w:hint="eastAsia" w:ascii="宋体" w:hAnsi="宋体"/>
                <w:szCs w:val="21"/>
              </w:rPr>
              <w:t>路线分项负责人</w:t>
            </w:r>
          </w:p>
        </w:tc>
        <w:tc>
          <w:tcPr>
            <w:tcW w:w="660" w:type="dxa"/>
            <w:noWrap w:val="0"/>
            <w:vAlign w:val="center"/>
          </w:tcPr>
          <w:p>
            <w:pPr>
              <w:pStyle w:val="6"/>
              <w:spacing w:line="260" w:lineRule="exact"/>
              <w:jc w:val="center"/>
              <w:rPr>
                <w:rFonts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szCs w:val="21"/>
              </w:rPr>
            </w:pPr>
            <w:r>
              <w:rPr>
                <w:rFonts w:hint="eastAsia" w:ascii="宋体" w:hAnsi="宋体"/>
                <w:bCs/>
                <w:szCs w:val="21"/>
              </w:rPr>
              <w:t>具有高级工程师职称，承担过1条新（改扩）建高速公路的</w:t>
            </w:r>
            <w:r>
              <w:rPr>
                <w:rFonts w:hint="eastAsia" w:ascii="宋体" w:hAnsi="宋体"/>
                <w:szCs w:val="21"/>
              </w:rPr>
              <w:t>路线</w:t>
            </w:r>
            <w:r>
              <w:rPr>
                <w:rFonts w:hint="eastAsia" w:ascii="宋体" w:hAnsi="宋体"/>
                <w:bCs/>
                <w:szCs w:val="21"/>
              </w:rPr>
              <w:t>设计分项负责人任务。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ascii="宋体" w:hAnsi="宋体"/>
                <w:szCs w:val="21"/>
              </w:rPr>
            </w:pPr>
            <w:r>
              <w:rPr>
                <w:rFonts w:hint="eastAsia" w:ascii="宋体" w:hAnsi="宋体"/>
                <w:szCs w:val="21"/>
              </w:rPr>
              <w:t>路基路面分项</w:t>
            </w:r>
          </w:p>
          <w:p>
            <w:pPr>
              <w:pStyle w:val="6"/>
              <w:spacing w:line="260" w:lineRule="exact"/>
              <w:jc w:val="center"/>
              <w:rPr>
                <w:rFonts w:hint="eastAsia" w:ascii="宋体" w:hAnsi="宋体"/>
                <w:szCs w:val="21"/>
              </w:rPr>
            </w:pPr>
            <w:r>
              <w:rPr>
                <w:rFonts w:hint="eastAsia" w:ascii="宋体" w:hAnsi="宋体"/>
                <w:szCs w:val="21"/>
              </w:rPr>
              <w:t>负责人</w:t>
            </w:r>
          </w:p>
        </w:tc>
        <w:tc>
          <w:tcPr>
            <w:tcW w:w="660" w:type="dxa"/>
            <w:noWrap w:val="0"/>
            <w:vAlign w:val="center"/>
          </w:tcPr>
          <w:p>
            <w:pPr>
              <w:pStyle w:val="6"/>
              <w:spacing w:line="260" w:lineRule="exact"/>
              <w:jc w:val="center"/>
              <w:rPr>
                <w:rFonts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szCs w:val="21"/>
              </w:rPr>
            </w:pPr>
            <w:r>
              <w:rPr>
                <w:rFonts w:hint="eastAsia" w:ascii="宋体" w:hAnsi="宋体"/>
                <w:bCs/>
                <w:szCs w:val="21"/>
              </w:rPr>
              <w:t>具有高级工程师职称，</w:t>
            </w:r>
            <w:r>
              <w:rPr>
                <w:rFonts w:hint="eastAsia" w:ascii="宋体" w:hAnsi="宋体"/>
                <w:bCs/>
              </w:rPr>
              <w:t>承担过1条新（改扩）建高速公路</w:t>
            </w:r>
            <w:r>
              <w:rPr>
                <w:rFonts w:hint="eastAsia" w:ascii="宋体" w:hAnsi="宋体"/>
                <w:bCs/>
                <w:szCs w:val="21"/>
              </w:rPr>
              <w:t>的</w:t>
            </w:r>
            <w:r>
              <w:rPr>
                <w:rFonts w:hint="eastAsia" w:ascii="宋体" w:hAnsi="宋体"/>
                <w:szCs w:val="21"/>
              </w:rPr>
              <w:t>路基路面</w:t>
            </w:r>
            <w:r>
              <w:rPr>
                <w:rFonts w:hint="eastAsia" w:ascii="宋体" w:hAnsi="宋体"/>
                <w:bCs/>
                <w:szCs w:val="21"/>
              </w:rPr>
              <w:t>设计分项负责人任务。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1"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hint="eastAsia" w:ascii="宋体" w:hAnsi="宋体"/>
                <w:szCs w:val="21"/>
              </w:rPr>
            </w:pPr>
            <w:r>
              <w:rPr>
                <w:rFonts w:hint="eastAsia" w:ascii="宋体" w:hAnsi="宋体"/>
                <w:szCs w:val="21"/>
              </w:rPr>
              <w:t>桥涵分项负责人</w:t>
            </w:r>
          </w:p>
        </w:tc>
        <w:tc>
          <w:tcPr>
            <w:tcW w:w="660" w:type="dxa"/>
            <w:noWrap w:val="0"/>
            <w:vAlign w:val="center"/>
          </w:tcPr>
          <w:p>
            <w:pPr>
              <w:pStyle w:val="6"/>
              <w:spacing w:line="260" w:lineRule="exact"/>
              <w:jc w:val="center"/>
              <w:rPr>
                <w:rFonts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szCs w:val="21"/>
              </w:rPr>
            </w:pPr>
            <w:r>
              <w:rPr>
                <w:rFonts w:hint="eastAsia" w:ascii="宋体" w:hAnsi="宋体"/>
                <w:bCs/>
                <w:szCs w:val="21"/>
              </w:rPr>
              <w:t>具有正高级工程师职称，</w:t>
            </w:r>
            <w:r>
              <w:rPr>
                <w:rFonts w:hint="eastAsia" w:ascii="宋体" w:hAnsi="宋体"/>
                <w:bCs/>
              </w:rPr>
              <w:t>承担过1条新（改扩）建高速公路</w:t>
            </w:r>
            <w:r>
              <w:rPr>
                <w:rFonts w:hint="eastAsia" w:ascii="宋体" w:hAnsi="宋体"/>
                <w:bCs/>
                <w:szCs w:val="21"/>
              </w:rPr>
              <w:t>的桥涵设计分项负责人任务。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1"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hint="eastAsia" w:ascii="宋体" w:hAnsi="宋体"/>
                <w:szCs w:val="21"/>
              </w:rPr>
            </w:pPr>
            <w:r>
              <w:rPr>
                <w:rFonts w:hint="eastAsia" w:ascii="宋体" w:hAnsi="宋体"/>
                <w:szCs w:val="21"/>
              </w:rPr>
              <w:t>隧道分项负责人</w:t>
            </w:r>
          </w:p>
        </w:tc>
        <w:tc>
          <w:tcPr>
            <w:tcW w:w="660" w:type="dxa"/>
            <w:noWrap w:val="0"/>
            <w:vAlign w:val="center"/>
          </w:tcPr>
          <w:p>
            <w:pPr>
              <w:pStyle w:val="6"/>
              <w:spacing w:line="260" w:lineRule="exact"/>
              <w:jc w:val="center"/>
              <w:rPr>
                <w:rFonts w:hint="eastAsia"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bCs/>
                <w:szCs w:val="21"/>
              </w:rPr>
            </w:pPr>
            <w:r>
              <w:rPr>
                <w:rFonts w:hint="eastAsia" w:ascii="宋体" w:hAnsi="宋体"/>
                <w:bCs/>
                <w:szCs w:val="21"/>
              </w:rPr>
              <w:t>具有正高级工程师职称，</w:t>
            </w:r>
            <w:r>
              <w:rPr>
                <w:rFonts w:hint="eastAsia" w:ascii="宋体" w:hAnsi="宋体"/>
                <w:bCs/>
              </w:rPr>
              <w:t>承担过1条新（改扩）建高速公路</w:t>
            </w:r>
            <w:r>
              <w:rPr>
                <w:rFonts w:hint="eastAsia" w:ascii="宋体" w:hAnsi="宋体"/>
                <w:bCs/>
                <w:szCs w:val="21"/>
              </w:rPr>
              <w:t>的项目负责人或隧道设计分项负责人任务。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1"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ascii="宋体" w:hAnsi="宋体"/>
                <w:szCs w:val="21"/>
              </w:rPr>
            </w:pPr>
            <w:r>
              <w:rPr>
                <w:rFonts w:hint="eastAsia" w:ascii="宋体" w:hAnsi="宋体"/>
                <w:szCs w:val="21"/>
              </w:rPr>
              <w:t>路线交叉分项</w:t>
            </w:r>
          </w:p>
          <w:p>
            <w:pPr>
              <w:pStyle w:val="6"/>
              <w:spacing w:line="260" w:lineRule="exact"/>
              <w:jc w:val="center"/>
              <w:rPr>
                <w:rFonts w:hint="eastAsia" w:ascii="宋体" w:hAnsi="宋体"/>
                <w:szCs w:val="21"/>
              </w:rPr>
            </w:pPr>
            <w:r>
              <w:rPr>
                <w:rFonts w:hint="eastAsia" w:ascii="宋体" w:hAnsi="宋体"/>
                <w:szCs w:val="21"/>
              </w:rPr>
              <w:t>负责人</w:t>
            </w:r>
          </w:p>
        </w:tc>
        <w:tc>
          <w:tcPr>
            <w:tcW w:w="660" w:type="dxa"/>
            <w:noWrap w:val="0"/>
            <w:vAlign w:val="center"/>
          </w:tcPr>
          <w:p>
            <w:pPr>
              <w:pStyle w:val="6"/>
              <w:spacing w:line="260" w:lineRule="exact"/>
              <w:jc w:val="center"/>
              <w:rPr>
                <w:rFonts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szCs w:val="21"/>
              </w:rPr>
            </w:pPr>
            <w:r>
              <w:rPr>
                <w:rFonts w:hint="eastAsia" w:ascii="宋体" w:hAnsi="宋体"/>
                <w:bCs/>
                <w:szCs w:val="21"/>
              </w:rPr>
              <w:t>具有高级工程师职称，承担过1条新（改扩）建高速公路的路线交叉设计分项负责人任务。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1"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hint="eastAsia" w:ascii="宋体" w:hAnsi="宋体"/>
                <w:szCs w:val="21"/>
              </w:rPr>
            </w:pPr>
            <w:r>
              <w:rPr>
                <w:rFonts w:hint="eastAsia" w:ascii="宋体" w:hAnsi="宋体"/>
                <w:szCs w:val="21"/>
              </w:rPr>
              <w:t>工程地质勘察</w:t>
            </w:r>
          </w:p>
          <w:p>
            <w:pPr>
              <w:pStyle w:val="6"/>
              <w:spacing w:line="260" w:lineRule="exact"/>
              <w:jc w:val="center"/>
              <w:rPr>
                <w:rFonts w:hint="eastAsia" w:ascii="宋体" w:hAnsi="宋体"/>
                <w:szCs w:val="21"/>
              </w:rPr>
            </w:pPr>
            <w:r>
              <w:rPr>
                <w:rFonts w:hint="eastAsia" w:ascii="宋体" w:hAnsi="宋体"/>
                <w:szCs w:val="21"/>
              </w:rPr>
              <w:t>分项负责人</w:t>
            </w:r>
          </w:p>
        </w:tc>
        <w:tc>
          <w:tcPr>
            <w:tcW w:w="660" w:type="dxa"/>
            <w:noWrap w:val="0"/>
            <w:vAlign w:val="center"/>
          </w:tcPr>
          <w:p>
            <w:pPr>
              <w:pStyle w:val="6"/>
              <w:spacing w:line="260" w:lineRule="exact"/>
              <w:jc w:val="center"/>
              <w:rPr>
                <w:rFonts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szCs w:val="21"/>
              </w:rPr>
            </w:pPr>
            <w:r>
              <w:rPr>
                <w:rFonts w:hint="eastAsia" w:ascii="宋体" w:hAnsi="宋体"/>
                <w:szCs w:val="21"/>
              </w:rPr>
              <w:t>具有高级工程师职称，注册岩土工程师执业资格，</w:t>
            </w:r>
            <w:r>
              <w:rPr>
                <w:rFonts w:hint="eastAsia" w:ascii="宋体" w:hAnsi="宋体"/>
                <w:bCs/>
              </w:rPr>
              <w:t>承担过1条新（改扩）建高速公路</w:t>
            </w:r>
            <w:r>
              <w:rPr>
                <w:rFonts w:hint="eastAsia" w:ascii="宋体" w:hAnsi="宋体"/>
                <w:szCs w:val="21"/>
              </w:rPr>
              <w:t>的工程地质勘察分项负责人任务。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1"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hint="eastAsia" w:ascii="宋体" w:hAnsi="宋体"/>
                <w:szCs w:val="21"/>
              </w:rPr>
            </w:pPr>
            <w:r>
              <w:rPr>
                <w:rFonts w:hint="eastAsia" w:ascii="宋体" w:hAnsi="宋体"/>
                <w:szCs w:val="21"/>
              </w:rPr>
              <w:t>交通工程（除机电外）分项负责人</w:t>
            </w:r>
          </w:p>
        </w:tc>
        <w:tc>
          <w:tcPr>
            <w:tcW w:w="660" w:type="dxa"/>
            <w:noWrap w:val="0"/>
            <w:vAlign w:val="center"/>
          </w:tcPr>
          <w:p>
            <w:pPr>
              <w:pStyle w:val="6"/>
              <w:spacing w:line="260" w:lineRule="exact"/>
              <w:jc w:val="center"/>
              <w:rPr>
                <w:rFonts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szCs w:val="21"/>
              </w:rPr>
            </w:pPr>
            <w:r>
              <w:rPr>
                <w:rFonts w:hint="eastAsia" w:ascii="宋体" w:hAnsi="宋体"/>
                <w:bCs/>
                <w:szCs w:val="21"/>
              </w:rPr>
              <w:t>具有高级工程师职称，承担过1条新（改扩）建高速公路的交通工程设计分项负责人任务。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1"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hint="eastAsia" w:ascii="宋体" w:hAnsi="宋体"/>
                <w:szCs w:val="21"/>
              </w:rPr>
            </w:pPr>
            <w:r>
              <w:rPr>
                <w:rFonts w:hint="eastAsia" w:ascii="宋体" w:hAnsi="宋体"/>
                <w:szCs w:val="21"/>
              </w:rPr>
              <w:t>交通工程（机电）分项负责人</w:t>
            </w:r>
          </w:p>
        </w:tc>
        <w:tc>
          <w:tcPr>
            <w:tcW w:w="660" w:type="dxa"/>
            <w:noWrap w:val="0"/>
            <w:vAlign w:val="center"/>
          </w:tcPr>
          <w:p>
            <w:pPr>
              <w:pStyle w:val="6"/>
              <w:spacing w:line="260" w:lineRule="exact"/>
              <w:jc w:val="center"/>
              <w:rPr>
                <w:rFonts w:hint="eastAsia"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bCs/>
                <w:szCs w:val="21"/>
              </w:rPr>
            </w:pPr>
            <w:r>
              <w:rPr>
                <w:rFonts w:hint="eastAsia" w:ascii="宋体" w:hAnsi="宋体"/>
                <w:bCs/>
                <w:szCs w:val="21"/>
              </w:rPr>
              <w:t>具有高级工程师职称，承担过1条新（改扩）建高速公路的交通工程设计分项负责人任务。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1"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ascii="宋体" w:hAnsi="宋体"/>
                <w:szCs w:val="21"/>
              </w:rPr>
            </w:pPr>
            <w:r>
              <w:rPr>
                <w:rFonts w:hint="eastAsia" w:ascii="宋体" w:hAnsi="宋体"/>
                <w:szCs w:val="21"/>
              </w:rPr>
              <w:t>绿化工程分项</w:t>
            </w:r>
          </w:p>
          <w:p>
            <w:pPr>
              <w:pStyle w:val="6"/>
              <w:spacing w:line="260" w:lineRule="exact"/>
              <w:jc w:val="center"/>
              <w:rPr>
                <w:rFonts w:hint="eastAsia" w:ascii="宋体" w:hAnsi="宋体"/>
                <w:szCs w:val="21"/>
              </w:rPr>
            </w:pPr>
            <w:r>
              <w:rPr>
                <w:rFonts w:hint="eastAsia" w:ascii="宋体" w:hAnsi="宋体"/>
                <w:szCs w:val="21"/>
              </w:rPr>
              <w:t>负责人</w:t>
            </w:r>
          </w:p>
        </w:tc>
        <w:tc>
          <w:tcPr>
            <w:tcW w:w="660" w:type="dxa"/>
            <w:noWrap w:val="0"/>
            <w:vAlign w:val="center"/>
          </w:tcPr>
          <w:p>
            <w:pPr>
              <w:pStyle w:val="6"/>
              <w:spacing w:line="260" w:lineRule="exact"/>
              <w:jc w:val="center"/>
              <w:rPr>
                <w:rFonts w:hint="eastAsia"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bCs/>
                <w:szCs w:val="21"/>
              </w:rPr>
            </w:pPr>
            <w:r>
              <w:rPr>
                <w:rFonts w:hint="eastAsia" w:ascii="宋体" w:hAnsi="宋体"/>
                <w:bCs/>
                <w:szCs w:val="21"/>
              </w:rPr>
              <w:t>具有高级工程师职称，承担过1条新（改扩）建高速公路的绿化工程设计分项负责人任务。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1"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ascii="宋体" w:hAnsi="宋体"/>
                <w:szCs w:val="21"/>
              </w:rPr>
            </w:pPr>
            <w:r>
              <w:rPr>
                <w:rFonts w:hint="eastAsia" w:ascii="宋体" w:hAnsi="宋体"/>
                <w:szCs w:val="21"/>
              </w:rPr>
              <w:t>工程造价分项</w:t>
            </w:r>
          </w:p>
          <w:p>
            <w:pPr>
              <w:pStyle w:val="6"/>
              <w:spacing w:line="260" w:lineRule="exact"/>
              <w:jc w:val="center"/>
              <w:rPr>
                <w:rFonts w:hint="eastAsia" w:ascii="宋体" w:hAnsi="宋体"/>
                <w:szCs w:val="21"/>
              </w:rPr>
            </w:pPr>
            <w:r>
              <w:rPr>
                <w:rFonts w:hint="eastAsia" w:ascii="宋体" w:hAnsi="宋体"/>
                <w:szCs w:val="21"/>
              </w:rPr>
              <w:t>负责人</w:t>
            </w:r>
          </w:p>
        </w:tc>
        <w:tc>
          <w:tcPr>
            <w:tcW w:w="660" w:type="dxa"/>
            <w:noWrap w:val="0"/>
            <w:vAlign w:val="center"/>
          </w:tcPr>
          <w:p>
            <w:pPr>
              <w:pStyle w:val="6"/>
              <w:spacing w:line="260" w:lineRule="exact"/>
              <w:jc w:val="center"/>
              <w:rPr>
                <w:rFonts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szCs w:val="21"/>
              </w:rPr>
            </w:pPr>
            <w:r>
              <w:rPr>
                <w:rFonts w:hint="eastAsia" w:ascii="宋体" w:hAnsi="宋体"/>
                <w:bCs/>
                <w:szCs w:val="21"/>
              </w:rPr>
              <w:t>具有高级工程师职称，具有交通运输部公路工程造价甲级资格证书或住房和城乡建设部注册造价师资格证书或具有注册一级造价工程师（交通运输）证书。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34" w:hRule="atLeast"/>
        </w:trPr>
        <w:tc>
          <w:tcPr>
            <w:tcW w:w="856" w:type="dxa"/>
            <w:vMerge w:val="continue"/>
            <w:noWrap w:val="0"/>
            <w:vAlign w:val="center"/>
          </w:tcPr>
          <w:p>
            <w:pPr>
              <w:pStyle w:val="6"/>
              <w:spacing w:line="260" w:lineRule="exact"/>
              <w:jc w:val="center"/>
              <w:rPr>
                <w:rFonts w:hint="eastAsia" w:ascii="宋体" w:hAnsi="宋体"/>
                <w:szCs w:val="21"/>
              </w:rPr>
            </w:pPr>
          </w:p>
        </w:tc>
        <w:tc>
          <w:tcPr>
            <w:tcW w:w="1965" w:type="dxa"/>
            <w:noWrap w:val="0"/>
            <w:vAlign w:val="center"/>
          </w:tcPr>
          <w:p>
            <w:pPr>
              <w:pStyle w:val="6"/>
              <w:spacing w:line="260" w:lineRule="exact"/>
              <w:jc w:val="center"/>
              <w:rPr>
                <w:rFonts w:ascii="宋体" w:hAnsi="宋体"/>
                <w:szCs w:val="21"/>
              </w:rPr>
            </w:pPr>
            <w:r>
              <w:rPr>
                <w:rFonts w:hint="eastAsia" w:ascii="宋体" w:hAnsi="宋体"/>
                <w:szCs w:val="21"/>
              </w:rPr>
              <w:t>后续服务工作</w:t>
            </w:r>
          </w:p>
          <w:p>
            <w:pPr>
              <w:pStyle w:val="6"/>
              <w:spacing w:line="260" w:lineRule="exact"/>
              <w:jc w:val="center"/>
              <w:rPr>
                <w:rFonts w:hint="eastAsia" w:ascii="宋体" w:hAnsi="宋体"/>
                <w:szCs w:val="21"/>
              </w:rPr>
            </w:pPr>
            <w:r>
              <w:rPr>
                <w:rFonts w:hint="eastAsia" w:ascii="宋体" w:hAnsi="宋体"/>
                <w:szCs w:val="21"/>
              </w:rPr>
              <w:t>负责人</w:t>
            </w:r>
          </w:p>
        </w:tc>
        <w:tc>
          <w:tcPr>
            <w:tcW w:w="660" w:type="dxa"/>
            <w:noWrap w:val="0"/>
            <w:vAlign w:val="center"/>
          </w:tcPr>
          <w:p>
            <w:pPr>
              <w:pStyle w:val="6"/>
              <w:spacing w:line="260" w:lineRule="exact"/>
              <w:jc w:val="center"/>
              <w:rPr>
                <w:rFonts w:ascii="宋体" w:hAnsi="宋体"/>
                <w:szCs w:val="21"/>
              </w:rPr>
            </w:pPr>
            <w:r>
              <w:rPr>
                <w:rFonts w:hint="eastAsia" w:ascii="宋体" w:hAnsi="宋体"/>
                <w:szCs w:val="21"/>
              </w:rPr>
              <w:t>1</w:t>
            </w:r>
          </w:p>
        </w:tc>
        <w:tc>
          <w:tcPr>
            <w:tcW w:w="6256" w:type="dxa"/>
            <w:noWrap w:val="0"/>
            <w:vAlign w:val="center"/>
          </w:tcPr>
          <w:p>
            <w:pPr>
              <w:pStyle w:val="6"/>
              <w:spacing w:line="260" w:lineRule="exact"/>
              <w:rPr>
                <w:rFonts w:hint="eastAsia" w:ascii="宋体" w:hAnsi="宋体"/>
                <w:szCs w:val="21"/>
              </w:rPr>
            </w:pPr>
            <w:r>
              <w:rPr>
                <w:rFonts w:hint="eastAsia" w:ascii="宋体" w:hAnsi="宋体"/>
                <w:szCs w:val="21"/>
              </w:rPr>
              <w:t>由负责本勘察设计项目的项目负责人或分项负责人（工程地质勘察分项负责人、交通工程分项负责人、绿化分项负责人、工程造价负责人除外）担任。</w:t>
            </w:r>
          </w:p>
        </w:tc>
      </w:tr>
      <w:bookmarkEnd w:id="9"/>
    </w:tbl>
    <w:p>
      <w:pPr>
        <w:pStyle w:val="6"/>
        <w:spacing w:line="280" w:lineRule="exact"/>
        <w:ind w:firstLine="420" w:firstLineChars="200"/>
        <w:rPr>
          <w:rFonts w:hint="eastAsia" w:ascii="宋体" w:hAnsi="宋体"/>
        </w:rPr>
      </w:pPr>
      <w:r>
        <w:rPr>
          <w:rFonts w:hint="eastAsia" w:ascii="宋体" w:hAnsi="宋体"/>
        </w:rPr>
        <w:t>注：1、附拟委任的主要人员的身份证、职称资格证书以及资格审查条件所要求的其他相关证书（如注册岩土工程师、造价工程师执业证书等）的扫描件、投标人浙江交通网诚信信息系统人员职称等相关证书公开信息扫描件（工程地质勘察分项负责人除外）等。拟委任的工程地质勘察分项负责人的注册岩土工程师、工程造价分项负责人的造价工程师执业证书上单位名称应与投标人名称一致。</w:t>
      </w:r>
    </w:p>
    <w:p>
      <w:pPr>
        <w:pStyle w:val="6"/>
        <w:spacing w:line="280" w:lineRule="exact"/>
        <w:ind w:firstLine="420" w:firstLineChars="200"/>
        <w:rPr>
          <w:rFonts w:hint="eastAsia" w:ascii="宋体" w:hAnsi="宋体"/>
        </w:rPr>
      </w:pPr>
      <w:r>
        <w:rPr>
          <w:rFonts w:hint="eastAsia" w:ascii="宋体" w:hAnsi="宋体"/>
        </w:rPr>
        <w:t>2、拟委任的项目负责人、分项负责人还应提供其满足资格审查条件的相关业绩证明材料扫描件（其他主要</w:t>
      </w:r>
      <w:r>
        <w:rPr>
          <w:rFonts w:ascii="宋体" w:hAnsi="宋体"/>
        </w:rPr>
        <w:t>人员无须提供</w:t>
      </w:r>
      <w:r>
        <w:rPr>
          <w:rFonts w:hint="eastAsia" w:ascii="宋体" w:hAnsi="宋体"/>
        </w:rPr>
        <w:t>）：中标通知书或合同协议书或项目发包人（或业主或行业主管部门）出具的业绩证明；以上材料中应体现人员的评审因素，否则业绩不予认可。</w:t>
      </w:r>
    </w:p>
    <w:p>
      <w:pPr>
        <w:pStyle w:val="6"/>
        <w:spacing w:line="280" w:lineRule="exact"/>
        <w:ind w:firstLine="420" w:firstLineChars="200"/>
        <w:rPr>
          <w:rFonts w:ascii="宋体" w:hAnsi="宋体"/>
        </w:rPr>
      </w:pPr>
      <w:r>
        <w:rPr>
          <w:rFonts w:hint="eastAsia" w:ascii="宋体" w:hAnsi="宋体"/>
        </w:rPr>
        <w:t>3、</w:t>
      </w:r>
      <w:bookmarkStart w:id="10" w:name="_Hlk41986773"/>
      <w:r>
        <w:rPr>
          <w:rFonts w:ascii="宋体" w:hAnsi="宋体"/>
        </w:rPr>
        <w:t>投标人无须提供拟委任项目负责人无行贿犯罪行为的证明材料，招标人定标前将通过中国裁判文书网（http://wenshu.court.gov.cn/）对中标候选人拟委任项目负责人的行贿犯罪记录进行查询，查实近三年（2018年7月1日）以来中标候选人拟委任项目负责人有行贿犯罪行为的（以中国裁判文书网页面显示内容为准，时间以法院判决书判决的日期为准），则取消该中标候选人的中标资格。</w:t>
      </w:r>
      <w:bookmarkEnd w:id="10"/>
    </w:p>
    <w:p>
      <w:pPr>
        <w:pStyle w:val="6"/>
        <w:spacing w:line="280" w:lineRule="exact"/>
        <w:ind w:firstLine="420" w:firstLineChars="200"/>
        <w:rPr>
          <w:rFonts w:hint="eastAsia" w:ascii="宋体" w:hAnsi="宋体"/>
        </w:rPr>
      </w:pPr>
      <w:r>
        <w:rPr>
          <w:rFonts w:hint="eastAsia" w:ascii="宋体" w:hAnsi="宋体"/>
        </w:rPr>
        <w:t>4、工程地质勘察分项负责人须为联合体成员单位人员，其余上述人员须为联合体牵头人单位人员。</w:t>
      </w:r>
    </w:p>
    <w:p>
      <w:pPr>
        <w:pStyle w:val="6"/>
        <w:spacing w:line="360" w:lineRule="auto"/>
        <w:jc w:val="left"/>
        <w:rPr>
          <w:rFonts w:hint="eastAsia" w:ascii="宋体" w:hAnsi="宋体"/>
          <w:szCs w:val="21"/>
        </w:rPr>
      </w:pPr>
      <w:r>
        <w:rPr>
          <w:rFonts w:ascii="楷体_GB2312" w:eastAsia="楷体_GB2312"/>
        </w:rPr>
        <w:br w:type="page"/>
      </w:r>
    </w:p>
    <w:p>
      <w:pPr>
        <w:pStyle w:val="7"/>
        <w:jc w:val="center"/>
        <w:rPr>
          <w:rFonts w:hint="eastAsia"/>
        </w:rPr>
      </w:pPr>
      <w:bookmarkStart w:id="11" w:name="_Toc83313353"/>
      <w:r>
        <w:rPr>
          <w:rFonts w:hint="eastAsia"/>
        </w:rPr>
        <w:t>附录4 资格审查条件（信誉最低要求）</w:t>
      </w:r>
      <w:bookmarkEnd w:id="11"/>
    </w:p>
    <w:p>
      <w:pPr>
        <w:pStyle w:val="6"/>
        <w:rPr>
          <w:rFonts w:hint="eastAsia"/>
        </w:rPr>
      </w:pPr>
    </w:p>
    <w:tbl>
      <w:tblPr>
        <w:tblStyle w:val="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8"/>
        <w:gridCol w:w="6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58" w:hRule="atLeast"/>
        </w:trPr>
        <w:tc>
          <w:tcPr>
            <w:tcW w:w="2858" w:type="dxa"/>
            <w:noWrap w:val="0"/>
            <w:vAlign w:val="center"/>
          </w:tcPr>
          <w:p>
            <w:pPr>
              <w:pStyle w:val="6"/>
              <w:spacing w:line="360" w:lineRule="exact"/>
              <w:jc w:val="center"/>
              <w:rPr>
                <w:rFonts w:hint="eastAsia" w:ascii="宋体" w:hAnsi="宋体"/>
                <w:szCs w:val="21"/>
              </w:rPr>
            </w:pPr>
            <w:bookmarkStart w:id="12" w:name="_Hlk40657058"/>
            <w:r>
              <w:rPr>
                <w:rFonts w:hint="eastAsia" w:ascii="宋体" w:hAnsi="宋体" w:cs="宋体"/>
                <w:szCs w:val="21"/>
              </w:rPr>
              <w:t>标段</w:t>
            </w:r>
          </w:p>
        </w:tc>
        <w:tc>
          <w:tcPr>
            <w:tcW w:w="6680" w:type="dxa"/>
            <w:noWrap w:val="0"/>
            <w:vAlign w:val="center"/>
          </w:tcPr>
          <w:p>
            <w:pPr>
              <w:pStyle w:val="6"/>
              <w:spacing w:line="360" w:lineRule="exact"/>
              <w:jc w:val="center"/>
              <w:rPr>
                <w:rFonts w:hint="eastAsia" w:ascii="宋体" w:hAnsi="宋体"/>
                <w:szCs w:val="21"/>
              </w:rPr>
            </w:pPr>
            <w:r>
              <w:rPr>
                <w:rFonts w:hint="eastAsia" w:ascii="宋体" w:hAnsi="宋体"/>
                <w:szCs w:val="21"/>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5" w:hRule="atLeast"/>
        </w:trPr>
        <w:tc>
          <w:tcPr>
            <w:tcW w:w="2858" w:type="dxa"/>
            <w:noWrap w:val="0"/>
            <w:vAlign w:val="center"/>
          </w:tcPr>
          <w:p>
            <w:pPr>
              <w:pStyle w:val="6"/>
              <w:spacing w:line="360" w:lineRule="auto"/>
              <w:jc w:val="center"/>
              <w:rPr>
                <w:rFonts w:hint="eastAsia" w:ascii="宋体" w:hAnsi="宋体"/>
              </w:rPr>
            </w:pPr>
            <w:r>
              <w:rPr>
                <w:rFonts w:hint="eastAsia" w:ascii="宋体" w:hAnsi="宋体"/>
              </w:rPr>
              <w:t>第SJ01标段</w:t>
            </w:r>
          </w:p>
        </w:tc>
        <w:tc>
          <w:tcPr>
            <w:tcW w:w="6680" w:type="dxa"/>
            <w:noWrap w:val="0"/>
            <w:vAlign w:val="center"/>
          </w:tcPr>
          <w:p>
            <w:pPr>
              <w:pStyle w:val="6"/>
              <w:spacing w:line="360" w:lineRule="exact"/>
              <w:ind w:firstLine="420" w:firstLineChars="200"/>
              <w:rPr>
                <w:rFonts w:hint="eastAsia" w:ascii="宋体" w:hAnsi="宋体"/>
                <w:szCs w:val="21"/>
              </w:rPr>
            </w:pPr>
            <w:r>
              <w:rPr>
                <w:rFonts w:hint="eastAsia" w:ascii="宋体" w:hAnsi="宋体"/>
                <w:szCs w:val="21"/>
              </w:rPr>
              <w:t>1、不存在“投标人须知”第1.4.3项的情形；</w:t>
            </w:r>
          </w:p>
          <w:p>
            <w:pPr>
              <w:pStyle w:val="6"/>
              <w:spacing w:line="360" w:lineRule="exact"/>
              <w:ind w:firstLine="420" w:firstLineChars="200"/>
              <w:rPr>
                <w:rFonts w:hint="eastAsia" w:ascii="宋体" w:hAnsi="宋体"/>
                <w:szCs w:val="21"/>
              </w:rPr>
            </w:pPr>
            <w:r>
              <w:rPr>
                <w:rFonts w:hint="eastAsia" w:ascii="宋体" w:hAnsi="宋体"/>
                <w:szCs w:val="21"/>
              </w:rPr>
              <w:t>2、自2018年</w:t>
            </w:r>
            <w:r>
              <w:rPr>
                <w:rFonts w:ascii="宋体" w:hAnsi="宋体"/>
                <w:szCs w:val="21"/>
              </w:rPr>
              <w:t>7月</w:t>
            </w:r>
            <w:r>
              <w:rPr>
                <w:rFonts w:hint="eastAsia" w:ascii="宋体" w:hAnsi="宋体"/>
                <w:szCs w:val="21"/>
              </w:rPr>
              <w:t>1日以来，投标人（联合体投标的，指所有联合体成员）无行贿犯罪行为。</w:t>
            </w:r>
          </w:p>
        </w:tc>
      </w:tr>
      <w:bookmarkEnd w:id="12"/>
    </w:tbl>
    <w:p>
      <w:pPr>
        <w:pStyle w:val="6"/>
        <w:ind w:firstLine="210" w:firstLineChars="100"/>
        <w:rPr>
          <w:rFonts w:ascii="宋体" w:hAnsi="宋体"/>
        </w:rPr>
      </w:pPr>
    </w:p>
    <w:p>
      <w:pPr>
        <w:pStyle w:val="6"/>
        <w:spacing w:line="280" w:lineRule="exact"/>
        <w:ind w:firstLine="420" w:firstLineChars="200"/>
        <w:rPr>
          <w:rFonts w:hint="eastAsia" w:ascii="宋体" w:hAnsi="宋体"/>
        </w:rPr>
      </w:pPr>
      <w:r>
        <w:rPr>
          <w:rFonts w:hint="eastAsia" w:ascii="宋体" w:hAnsi="宋体"/>
        </w:rPr>
        <w:t>注：投标人无须提供无行贿犯罪行为的证明材料，招标人定标前将通过中国裁判文书网（http://wenshu.court.gov.cn/）对中标候选人的行贿犯罪记录进行查询，查实近三年（2018年7月1日）以来中标候选人有行贿犯罪行为的（以中国裁判文书网页面显示内容为准，时间以法院判决书判决的日期为准），则取消该中标候选人的中标资格。</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宋体" w:hAnsi="宋体" w:cs="宋体"/>
          <w:spacing w:val="-3"/>
          <w:sz w:val="18"/>
        </w:rPr>
      </w:pPr>
      <w:bookmarkStart w:id="13" w:name="_GoBack"/>
      <w:bookmarkEnd w:id="13"/>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B3A3C"/>
    <w:rsid w:val="05CD1C0E"/>
    <w:rsid w:val="11692C69"/>
    <w:rsid w:val="20AC55B2"/>
    <w:rsid w:val="422B3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otnote reference"/>
    <w:semiHidden/>
    <w:qFormat/>
    <w:uiPriority w:val="0"/>
    <w:rPr>
      <w:vertAlign w:val="superscript"/>
    </w:rPr>
  </w:style>
  <w:style w:type="paragraph" w:customStyle="1" w:styleId="6">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
    <w:name w:val="标题 3_0"/>
    <w:basedOn w:val="6"/>
    <w:next w:val="6"/>
    <w:unhideWhenUsed/>
    <w:qFormat/>
    <w:uiPriority w:val="0"/>
    <w:pPr>
      <w:keepNext/>
      <w:keepLines/>
      <w:spacing w:before="260" w:after="260" w:line="415" w:lineRule="auto"/>
      <w:outlineLvl w:val="2"/>
    </w:pPr>
    <w:rPr>
      <w:b/>
      <w:bCs/>
      <w:kern w:val="0"/>
      <w:sz w:val="32"/>
      <w:szCs w:val="32"/>
    </w:rPr>
  </w:style>
  <w:style w:type="paragraph" w:customStyle="1" w:styleId="8">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0_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1871</Words>
  <Characters>1986</Characters>
  <Lines>0</Lines>
  <Paragraphs>0</Paragraphs>
  <TotalTime>2</TotalTime>
  <ScaleCrop>false</ScaleCrop>
  <LinksUpToDate>false</LinksUpToDate>
  <CharactersWithSpaces>1999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2021-08-25T00:52:00Z</dcterms:created>
  <dc:creator>圈圈熊</dc:creator>
  <cp:lastModifiedBy>NTKO</cp:lastModifiedBy>
  <dcterms:modified xsi:type="dcterms:W3CDTF">2021-10-20T03:09:41Z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678835F609664E5787774A7B35219FBC</vt:lpwstr>
  </property>
</Properties>
</file>